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DE820" w14:textId="185AF977" w:rsidR="00172EE0" w:rsidRDefault="00172EE0" w:rsidP="00172E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Výčet konsolidovaných jednotek státu a dalších subjektů na rok </w:t>
      </w:r>
      <w:r w:rsidR="00246400">
        <w:rPr>
          <w:rFonts w:ascii="Arial" w:hAnsi="Arial" w:cs="Arial"/>
          <w:b/>
          <w:bCs/>
          <w:sz w:val="20"/>
          <w:szCs w:val="20"/>
          <w:u w:val="single"/>
        </w:rPr>
        <w:t>202</w:t>
      </w:r>
      <w:r w:rsidR="001D00B4">
        <w:rPr>
          <w:rFonts w:ascii="Arial" w:hAnsi="Arial" w:cs="Arial"/>
          <w:b/>
          <w:bCs/>
          <w:sz w:val="20"/>
          <w:szCs w:val="20"/>
          <w:u w:val="single"/>
        </w:rPr>
        <w:t>4</w:t>
      </w:r>
    </w:p>
    <w:p w14:paraId="0A51F6DA" w14:textId="77777777" w:rsidR="00172EE0" w:rsidRDefault="00172EE0" w:rsidP="00172EE0">
      <w:pPr>
        <w:jc w:val="both"/>
        <w:rPr>
          <w:rFonts w:ascii="Arial" w:hAnsi="Arial" w:cs="Arial"/>
          <w:sz w:val="20"/>
          <w:szCs w:val="20"/>
        </w:rPr>
      </w:pPr>
    </w:p>
    <w:p w14:paraId="603FC51E" w14:textId="77777777" w:rsidR="00172EE0" w:rsidRDefault="00172EE0" w:rsidP="00172EE0">
      <w:pPr>
        <w:jc w:val="both"/>
        <w:rPr>
          <w:rFonts w:ascii="Arial" w:hAnsi="Arial" w:cs="Arial"/>
          <w:sz w:val="20"/>
          <w:szCs w:val="20"/>
        </w:rPr>
      </w:pPr>
    </w:p>
    <w:p w14:paraId="49E7D8F1" w14:textId="75035D8C" w:rsidR="00172EE0" w:rsidRPr="00D75E94" w:rsidRDefault="00172EE0" w:rsidP="00172EE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75E94">
        <w:rPr>
          <w:rFonts w:ascii="Arial" w:hAnsi="Arial" w:cs="Arial"/>
          <w:sz w:val="20"/>
          <w:szCs w:val="20"/>
        </w:rPr>
        <w:t xml:space="preserve">Ministerstvo financí ČR zveřejnilo na stránkách </w:t>
      </w:r>
      <w:hyperlink r:id="rId4" w:history="1">
        <w:r w:rsidRPr="00D75E94">
          <w:rPr>
            <w:rStyle w:val="Hypertextovodkaz"/>
            <w:rFonts w:ascii="Arial" w:hAnsi="Arial" w:cs="Arial"/>
            <w:sz w:val="20"/>
            <w:szCs w:val="20"/>
          </w:rPr>
          <w:t>http://www.mf</w:t>
        </w:r>
        <w:r w:rsidRPr="00D75E94">
          <w:rPr>
            <w:rStyle w:val="Hypertextovodkaz"/>
            <w:rFonts w:ascii="Arial" w:hAnsi="Arial" w:cs="Arial"/>
            <w:sz w:val="20"/>
            <w:szCs w:val="20"/>
          </w:rPr>
          <w:t>c</w:t>
        </w:r>
        <w:r w:rsidRPr="00D75E94">
          <w:rPr>
            <w:rStyle w:val="Hypertextovodkaz"/>
            <w:rFonts w:ascii="Arial" w:hAnsi="Arial" w:cs="Arial"/>
            <w:sz w:val="20"/>
            <w:szCs w:val="20"/>
          </w:rPr>
          <w:t>r.cz/cs/verejny-sektor/ucetnictvi-a-ucetnictvi-statu/ucetni-reforma-verejnych-financi-ucetnic/ucetni-vykaznictvi-statu/vycet-konsolidovanych-jednotek-statu-a-d</w:t>
        </w:r>
      </w:hyperlink>
      <w:r w:rsidRPr="00D75E94">
        <w:rPr>
          <w:rFonts w:ascii="Arial" w:hAnsi="Arial" w:cs="Arial"/>
          <w:sz w:val="20"/>
          <w:szCs w:val="20"/>
        </w:rPr>
        <w:t xml:space="preserve"> </w:t>
      </w:r>
      <w:r w:rsidR="001D00B4">
        <w:rPr>
          <w:rFonts w:ascii="Arial" w:hAnsi="Arial" w:cs="Arial"/>
          <w:sz w:val="20"/>
          <w:szCs w:val="20"/>
        </w:rPr>
        <w:t xml:space="preserve"> </w:t>
      </w:r>
      <w:r w:rsidRPr="00D75E94">
        <w:rPr>
          <w:rFonts w:ascii="Arial" w:hAnsi="Arial" w:cs="Arial"/>
          <w:sz w:val="20"/>
          <w:szCs w:val="20"/>
        </w:rPr>
        <w:t xml:space="preserve">výčet konsolidovaných jednotek státu a dalších subjektů podle § 11 odst. 2 konsolidační vyhlášky státu č. 312/2014 Sb. Subjekty, které jsou obsaženy ve výčtu budou za účetní období </w:t>
      </w:r>
      <w:r>
        <w:rPr>
          <w:rFonts w:ascii="Arial" w:hAnsi="Arial" w:cs="Arial"/>
          <w:sz w:val="20"/>
          <w:szCs w:val="20"/>
        </w:rPr>
        <w:t>202</w:t>
      </w:r>
      <w:r w:rsidR="001D00B4">
        <w:rPr>
          <w:rFonts w:ascii="Arial" w:hAnsi="Arial" w:cs="Arial"/>
          <w:sz w:val="20"/>
          <w:szCs w:val="20"/>
        </w:rPr>
        <w:t>4</w:t>
      </w:r>
      <w:r w:rsidRPr="00D75E94">
        <w:rPr>
          <w:rFonts w:ascii="Arial" w:hAnsi="Arial" w:cs="Arial"/>
          <w:sz w:val="20"/>
          <w:szCs w:val="20"/>
        </w:rPr>
        <w:t xml:space="preserve"> zahrnuty do účetních výkazů za Českou republiku. </w:t>
      </w:r>
    </w:p>
    <w:p w14:paraId="5E7A7455" w14:textId="77777777" w:rsidR="00172EE0" w:rsidRPr="00D75E94" w:rsidRDefault="00172EE0" w:rsidP="00172EE0">
      <w:pPr>
        <w:spacing w:after="24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D75E94">
        <w:rPr>
          <w:rFonts w:ascii="Arial" w:hAnsi="Arial" w:cs="Arial"/>
          <w:bCs/>
          <w:sz w:val="20"/>
          <w:szCs w:val="20"/>
        </w:rPr>
        <w:t>Dle § 11 odst. 5 konsolidační vyhlášky státu má spravující jednotka povinnost informovat konsolidovanou jednotku státu o její zahrnutí do konsolidačního celku státu, a to nejpozději do 5 pracovních dnů ode dne zveřejnění výčtu ministerstvem.</w:t>
      </w:r>
    </w:p>
    <w:p w14:paraId="1ACDD878" w14:textId="4F6EE3D2" w:rsidR="00172EE0" w:rsidRPr="00D75E94" w:rsidRDefault="00172EE0" w:rsidP="00172EE0">
      <w:pPr>
        <w:spacing w:after="24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D75E94">
        <w:rPr>
          <w:rFonts w:ascii="Arial" w:hAnsi="Arial" w:cs="Arial"/>
          <w:sz w:val="20"/>
          <w:szCs w:val="20"/>
        </w:rPr>
        <w:t xml:space="preserve">Na konsolidované jednotky uvedené ve výčtu ministerstva financí ČR (vybrané dobrovolné svazky obcí, společnost s ručením omezeným, akciové společnosti), se bude nově za rok </w:t>
      </w:r>
      <w:r w:rsidR="00246400">
        <w:rPr>
          <w:rFonts w:ascii="Arial" w:hAnsi="Arial" w:cs="Arial"/>
          <w:sz w:val="20"/>
          <w:szCs w:val="20"/>
        </w:rPr>
        <w:t>202</w:t>
      </w:r>
      <w:r w:rsidR="001D00B4">
        <w:rPr>
          <w:rFonts w:ascii="Arial" w:hAnsi="Arial" w:cs="Arial"/>
          <w:sz w:val="20"/>
          <w:szCs w:val="20"/>
        </w:rPr>
        <w:t>4</w:t>
      </w:r>
      <w:r w:rsidR="00246400">
        <w:rPr>
          <w:rFonts w:ascii="Arial" w:hAnsi="Arial" w:cs="Arial"/>
          <w:sz w:val="20"/>
          <w:szCs w:val="20"/>
        </w:rPr>
        <w:t xml:space="preserve"> </w:t>
      </w:r>
      <w:r w:rsidRPr="00D75E94">
        <w:rPr>
          <w:rFonts w:ascii="Arial" w:hAnsi="Arial" w:cs="Arial"/>
          <w:sz w:val="20"/>
          <w:szCs w:val="20"/>
        </w:rPr>
        <w:t xml:space="preserve">vztahovat nová informační povinnost, a to vyplnit a předat do CSÚIS tzv. Pomocný konsolidační přehled (dále jen „PKP“). Termín předání PKP je stanoven vyhláškou č. 383/2009 Sb. (technická vyhláška) a bude se předávat 1x ročně. </w:t>
      </w:r>
      <w:r w:rsidRPr="00D75E94">
        <w:rPr>
          <w:rFonts w:ascii="Arial" w:hAnsi="Arial" w:cs="Arial"/>
          <w:b/>
          <w:bCs/>
          <w:sz w:val="20"/>
          <w:szCs w:val="20"/>
        </w:rPr>
        <w:t>K předání</w:t>
      </w:r>
      <w:r>
        <w:rPr>
          <w:rFonts w:ascii="Arial" w:hAnsi="Arial" w:cs="Arial"/>
          <w:b/>
          <w:bCs/>
          <w:sz w:val="20"/>
          <w:szCs w:val="20"/>
        </w:rPr>
        <w:t xml:space="preserve"> PKP s daty ve stavu k 31.12.202</w:t>
      </w:r>
      <w:r w:rsidR="001D00B4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 xml:space="preserve"> dojde nejpozději do 31.7.202</w:t>
      </w:r>
      <w:r w:rsidR="001D00B4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65F6232C" w14:textId="77777777" w:rsidR="00172EE0" w:rsidRPr="00D75E94" w:rsidRDefault="00172EE0" w:rsidP="00172EE0">
      <w:p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D75E94">
        <w:rPr>
          <w:rFonts w:ascii="Arial" w:hAnsi="Arial" w:cs="Arial"/>
          <w:sz w:val="20"/>
          <w:szCs w:val="20"/>
        </w:rPr>
        <w:t>Na stránkách MF ČR</w:t>
      </w:r>
      <w:r w:rsidRPr="00F36887">
        <w:rPr>
          <w:rFonts w:ascii="Arial" w:hAnsi="Arial" w:cs="Arial"/>
          <w:sz w:val="20"/>
          <w:szCs w:val="20"/>
        </w:rPr>
        <w:t xml:space="preserve"> </w:t>
      </w:r>
      <w:hyperlink r:id="rId5" w:history="1">
        <w:r w:rsidRPr="00D75E94">
          <w:rPr>
            <w:rStyle w:val="Hypertextovodkaz"/>
            <w:rFonts w:ascii="Arial" w:hAnsi="Arial" w:cs="Arial"/>
            <w:sz w:val="20"/>
            <w:szCs w:val="20"/>
          </w:rPr>
          <w:t>http://www.mfcr.cz/c</w:t>
        </w:r>
        <w:r w:rsidRPr="00D75E94">
          <w:rPr>
            <w:rStyle w:val="Hypertextovodkaz"/>
            <w:rFonts w:ascii="Arial" w:hAnsi="Arial" w:cs="Arial"/>
            <w:sz w:val="20"/>
            <w:szCs w:val="20"/>
          </w:rPr>
          <w:t>s</w:t>
        </w:r>
        <w:r w:rsidRPr="00D75E94">
          <w:rPr>
            <w:rStyle w:val="Hypertextovodkaz"/>
            <w:rFonts w:ascii="Arial" w:hAnsi="Arial" w:cs="Arial"/>
            <w:sz w:val="20"/>
            <w:szCs w:val="20"/>
          </w:rPr>
          <w:t>/verejny-sektor/ucetnictvi-a-ucetnictvi-statu/ucetni-reforma-verejnych-financi-ucetnic/ucetni-vykaznictvi-statu/konsolidacni-manual</w:t>
        </w:r>
      </w:hyperlink>
      <w:r w:rsidRPr="00F36887">
        <w:rPr>
          <w:rFonts w:ascii="Arial" w:hAnsi="Arial" w:cs="Arial"/>
          <w:sz w:val="20"/>
          <w:szCs w:val="20"/>
        </w:rPr>
        <w:t xml:space="preserve"> naleznete</w:t>
      </w:r>
      <w:r w:rsidRPr="00D75E94">
        <w:rPr>
          <w:rFonts w:ascii="Arial" w:hAnsi="Arial" w:cs="Arial"/>
          <w:sz w:val="20"/>
          <w:szCs w:val="20"/>
        </w:rPr>
        <w:t xml:space="preserve"> jak konsolidační manuál, tak i metodické pomůcky k informování o sestavování a předávání Pomocného konsolidačního přehledu do CSÚIS včetně vzorového příkladu.</w:t>
      </w:r>
    </w:p>
    <w:p w14:paraId="1334F109" w14:textId="77777777" w:rsidR="00CE212D" w:rsidRDefault="00CE212D"/>
    <w:sectPr w:rsidR="00CE2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E0"/>
    <w:rsid w:val="00172EE0"/>
    <w:rsid w:val="001D00B4"/>
    <w:rsid w:val="00246400"/>
    <w:rsid w:val="00CE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61278"/>
  <w15:chartTrackingRefBased/>
  <w15:docId w15:val="{8873F9F3-1885-40C2-8B35-9500A502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2EE0"/>
    <w:pPr>
      <w:spacing w:after="0" w:line="340" w:lineRule="atLeast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72EE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464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fcr.cz/cs/verejny-sektor/ucetnictvi-a-ucetnictvi-statu/ucetni-reforma-verejnych-financi-ucetnic/ucetni-vykaznictvi-statu/konsolidacni-manual" TargetMode="External"/><Relationship Id="rId4" Type="http://schemas.openxmlformats.org/officeDocument/2006/relationships/hyperlink" Target="http://www.mfcr.cz/cs/verejny-sektor/ucetnictvi-a-ucetnictvi-statu/ucetni-reforma-verejnych-financi-ucetnic/ucetni-vykaznictvi-statu/vycet-konsolidovanych-jednotek-statu-a-d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1667</Characters>
  <Application>Microsoft Office Word</Application>
  <DocSecurity>0</DocSecurity>
  <Lines>13</Lines>
  <Paragraphs>3</Paragraphs>
  <ScaleCrop>false</ScaleCrop>
  <Company>Stredocesky kraj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Melicharová Zina</dc:creator>
  <cp:keywords/>
  <dc:description/>
  <cp:lastModifiedBy>Melicharová Zina</cp:lastModifiedBy>
  <cp:revision>3</cp:revision>
  <dcterms:created xsi:type="dcterms:W3CDTF">2022-02-10T10:27:00Z</dcterms:created>
  <dcterms:modified xsi:type="dcterms:W3CDTF">2024-02-12T08:46:00Z</dcterms:modified>
</cp:coreProperties>
</file>