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FF" w:rsidRPr="00FC64A8" w:rsidRDefault="00836EFF" w:rsidP="00836EF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aps/>
          <w:color w:val="1D3380"/>
          <w:sz w:val="24"/>
          <w:szCs w:val="24"/>
          <w:lang w:eastAsia="cs-CZ"/>
        </w:rPr>
      </w:pPr>
      <w:r w:rsidRPr="00FC64A8">
        <w:rPr>
          <w:rFonts w:eastAsia="Times New Roman" w:cstheme="minorHAnsi"/>
          <w:b/>
          <w:bCs/>
          <w:caps/>
          <w:color w:val="1D3380"/>
          <w:sz w:val="24"/>
          <w:szCs w:val="24"/>
          <w:lang w:eastAsia="cs-CZ"/>
        </w:rPr>
        <w:t>SEZNAM ČLENŮ RADY PRO KONKURENCESCHOPNOST</w:t>
      </w:r>
    </w:p>
    <w:p w:rsidR="00836EFF" w:rsidRPr="00FC64A8" w:rsidRDefault="00836EFF" w:rsidP="00836E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4A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Členové s hlasovacím právem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Krajský úřad Středočeského kraje – Odbor regionálního rozvoje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Fyzikální ústav AV ČR, v. v. i.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BIOCEV (Ústav molekulární genetiky AV ČR, v. v. i.)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ÚJV Řež, a. s.</w:t>
      </w:r>
      <w:bookmarkStart w:id="0" w:name="_GoBack"/>
      <w:bookmarkEnd w:id="0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ŠKODA AUTO a.s.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TopolWater</w:t>
      </w:r>
      <w:proofErr w:type="spell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, s. r. o.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Technopark Kralupy (Vysoká škola chemicko-technologická v Praze)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European</w:t>
      </w:r>
      <w:proofErr w:type="spell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Cyber</w:t>
      </w:r>
      <w:proofErr w:type="spell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Security</w:t>
      </w:r>
      <w:proofErr w:type="spell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Excellence Center, z. </w:t>
      </w:r>
      <w:proofErr w:type="gram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s.</w:t>
      </w:r>
      <w:proofErr w:type="gram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Univerzitní centrum energeticky efektivních budov ČVUT v Praze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Česká zemědělská univerzita v Praze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EPS biotechnology, </w:t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s.r.o</w:t>
      </w:r>
      <w:proofErr w:type="spellEnd"/>
    </w:p>
    <w:p w:rsidR="00836EFF" w:rsidRPr="00FC64A8" w:rsidRDefault="00836EFF" w:rsidP="00836EFF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C64A8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Stálí hosté bez hlasovacího práva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Středočeský kraj – věcně příslušný člen Rady Středočeského kraje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>Středočeské inovační centrum, spolek</w:t>
      </w:r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br/>
        <w:t xml:space="preserve">Agentura pro podporu podnikání a investic </w:t>
      </w:r>
      <w:proofErr w:type="spellStart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>CzechInvest</w:t>
      </w:r>
      <w:proofErr w:type="spellEnd"/>
      <w:r w:rsidRPr="00FC64A8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– Regionální kancelář pro Střední Čechy a Prahu</w:t>
      </w:r>
    </w:p>
    <w:p w:rsidR="00D42679" w:rsidRPr="00FC64A8" w:rsidRDefault="00D42679">
      <w:pPr>
        <w:rPr>
          <w:rFonts w:cstheme="minorHAnsi"/>
          <w:sz w:val="24"/>
          <w:szCs w:val="24"/>
        </w:rPr>
      </w:pPr>
    </w:p>
    <w:sectPr w:rsidR="00D42679" w:rsidRPr="00FC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FF"/>
    <w:rsid w:val="00836EFF"/>
    <w:rsid w:val="00D42679"/>
    <w:rsid w:val="00FC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FD97-1C53-4AD5-A695-AAA2601A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36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36E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3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36E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Jakub</dc:creator>
  <cp:keywords/>
  <dc:description/>
  <cp:lastModifiedBy>Stojan Jakub</cp:lastModifiedBy>
  <cp:revision>2</cp:revision>
  <dcterms:created xsi:type="dcterms:W3CDTF">2019-11-26T15:14:00Z</dcterms:created>
  <dcterms:modified xsi:type="dcterms:W3CDTF">2019-11-27T10:17:00Z</dcterms:modified>
</cp:coreProperties>
</file>