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B8" w:rsidRDefault="009616B8" w:rsidP="009616B8">
      <w:pPr>
        <w:keepNext/>
        <w:keepLines/>
        <w:spacing w:before="480" w:after="0"/>
        <w:ind w:left="432" w:hanging="432"/>
        <w:jc w:val="both"/>
        <w:outlineLvl w:val="0"/>
        <w:rPr>
          <w:rFonts w:eastAsiaTheme="majorEastAsia" w:cstheme="minorHAnsi"/>
          <w:color w:val="2E74B5" w:themeColor="accent1" w:themeShade="BF"/>
          <w:sz w:val="32"/>
          <w:szCs w:val="32"/>
        </w:rPr>
      </w:pPr>
      <w:bookmarkStart w:id="0" w:name="_Toc22820080"/>
      <w:r>
        <w:rPr>
          <w:rFonts w:eastAsiaTheme="majorEastAsia" w:cstheme="minorHAnsi"/>
          <w:color w:val="2E74B5" w:themeColor="accent1" w:themeShade="BF"/>
          <w:sz w:val="32"/>
          <w:szCs w:val="32"/>
        </w:rPr>
        <w:t xml:space="preserve">6. </w:t>
      </w:r>
      <w:r w:rsidRPr="009616B8">
        <w:rPr>
          <w:rFonts w:eastAsiaTheme="majorEastAsia" w:cstheme="minorHAnsi"/>
          <w:color w:val="2E74B5" w:themeColor="accent1" w:themeShade="BF"/>
          <w:sz w:val="32"/>
          <w:szCs w:val="32"/>
        </w:rPr>
        <w:t>PRAVIDLA ŘÍZENÍ A KOORDINACE SÍTĚ SOCIÁLNÍCH SLUŽEB SK</w:t>
      </w:r>
      <w:bookmarkEnd w:id="0"/>
    </w:p>
    <w:p w:rsidR="009616B8" w:rsidRPr="009616B8" w:rsidRDefault="009616B8" w:rsidP="009616B8">
      <w:pPr>
        <w:keepNext/>
        <w:keepLines/>
        <w:spacing w:before="480" w:after="0"/>
        <w:ind w:left="432" w:hanging="432"/>
        <w:jc w:val="both"/>
        <w:outlineLvl w:val="0"/>
        <w:rPr>
          <w:rFonts w:eastAsiaTheme="majorEastAsia" w:cstheme="minorHAnsi"/>
          <w:color w:val="2E74B5" w:themeColor="accent1" w:themeShade="BF"/>
          <w:sz w:val="32"/>
          <w:szCs w:val="32"/>
        </w:rPr>
      </w:pPr>
      <w:bookmarkStart w:id="1" w:name="_GoBack"/>
      <w:bookmarkEnd w:id="1"/>
    </w:p>
    <w:p w:rsidR="009616B8" w:rsidRPr="009616B8" w:rsidRDefault="009616B8" w:rsidP="009616B8">
      <w:pPr>
        <w:spacing w:line="312" w:lineRule="auto"/>
        <w:jc w:val="both"/>
      </w:pPr>
      <w:r w:rsidRPr="009616B8">
        <w:t xml:space="preserve">Pravidla řízení a koordinace Sítě sociálních služeb SK (dál jen Pravidla) upravují postup a podmínky Středočeského kraje pro tvorbu a aktualizaci sítě sociálních služeb v kraji. Kraj v souladu s § 95 ZSS zajišťuje dostupnost poskytování sociálních služeb na svém území v souladu se SPRSS, přitom přihlíží k informacím obcí sděleným dle § 94 písm. f) ZSS. </w:t>
      </w:r>
    </w:p>
    <w:p w:rsidR="009616B8" w:rsidRPr="009616B8" w:rsidRDefault="009616B8" w:rsidP="009616B8">
      <w:pPr>
        <w:spacing w:line="312" w:lineRule="auto"/>
        <w:jc w:val="both"/>
      </w:pPr>
      <w:r w:rsidRPr="009616B8">
        <w:t xml:space="preserve">ZSS definuje Síť jako souhrn sociálních služeb, které v dostatečné kapacitě, náležité kvalitě a s odpovídající místní dostupností napomáhají řešit nepříznivou sociální situaci osob na území kraje a které jsou v souladu se zjištěnými potřebami osob na území kraje a dostupnými finančními a jinými zdroji. </w:t>
      </w:r>
    </w:p>
    <w:p w:rsidR="009616B8" w:rsidRPr="009616B8" w:rsidRDefault="009616B8" w:rsidP="009616B8">
      <w:pPr>
        <w:spacing w:line="312" w:lineRule="auto"/>
        <w:jc w:val="both"/>
      </w:pPr>
      <w:r w:rsidRPr="009616B8">
        <w:t xml:space="preserve">Na zařazení sociální služby do Sítě není právní nárok. O Síti rozhoduje Kraj v samostatné působnosti v souladu s § 3 a § 95 ZSS. </w:t>
      </w:r>
    </w:p>
    <w:p w:rsidR="009616B8" w:rsidRPr="009616B8" w:rsidRDefault="009616B8" w:rsidP="009616B8">
      <w:pPr>
        <w:spacing w:line="312" w:lineRule="auto"/>
        <w:jc w:val="both"/>
      </w:pPr>
      <w:r w:rsidRPr="009616B8">
        <w:t xml:space="preserve">Pravidla jsou zpracovávána v návaznosti na uvedené právní předpisy, zejména: </w:t>
      </w:r>
    </w:p>
    <w:p w:rsidR="009616B8" w:rsidRPr="009616B8" w:rsidRDefault="009616B8" w:rsidP="009616B8">
      <w:pPr>
        <w:numPr>
          <w:ilvl w:val="0"/>
          <w:numId w:val="2"/>
        </w:numPr>
        <w:spacing w:line="312" w:lineRule="auto"/>
        <w:contextualSpacing/>
        <w:jc w:val="both"/>
      </w:pPr>
      <w:r w:rsidRPr="009616B8">
        <w:t>ZSS, včetně prováděcí vyhlášky č. 505/2006 Sb., ve znění pozdějších předpisů;</w:t>
      </w:r>
    </w:p>
    <w:p w:rsidR="009616B8" w:rsidRPr="009616B8" w:rsidRDefault="009616B8" w:rsidP="009616B8">
      <w:pPr>
        <w:numPr>
          <w:ilvl w:val="0"/>
          <w:numId w:val="2"/>
        </w:numPr>
        <w:spacing w:line="312" w:lineRule="auto"/>
        <w:contextualSpacing/>
        <w:jc w:val="both"/>
      </w:pPr>
      <w:r w:rsidRPr="009616B8">
        <w:t>zákon č. 129/2000 Sb., o krajích (krajské zřízení), ve znění pozdějších předpisů;</w:t>
      </w:r>
    </w:p>
    <w:p w:rsidR="009616B8" w:rsidRPr="009616B8" w:rsidRDefault="009616B8" w:rsidP="009616B8">
      <w:pPr>
        <w:numPr>
          <w:ilvl w:val="0"/>
          <w:numId w:val="2"/>
        </w:numPr>
        <w:spacing w:line="312" w:lineRule="auto"/>
        <w:contextualSpacing/>
        <w:jc w:val="both"/>
      </w:pPr>
      <w:r w:rsidRPr="009616B8">
        <w:t>zákon č. 128/2000 Sb., o obcích (obecní zřízení), ve znění pozdějších předpisů;</w:t>
      </w:r>
    </w:p>
    <w:p w:rsidR="009616B8" w:rsidRPr="009616B8" w:rsidRDefault="009616B8" w:rsidP="009616B8">
      <w:pPr>
        <w:numPr>
          <w:ilvl w:val="0"/>
          <w:numId w:val="2"/>
        </w:numPr>
        <w:spacing w:line="312" w:lineRule="auto"/>
        <w:contextualSpacing/>
        <w:jc w:val="both"/>
      </w:pPr>
      <w:r w:rsidRPr="009616B8">
        <w:t xml:space="preserve">Rozhodnutí SGEI. 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>Síť a principy řízení rozvoje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Síť podle § 3, </w:t>
      </w:r>
      <w:proofErr w:type="spellStart"/>
      <w:r w:rsidRPr="009616B8">
        <w:t>pís</w:t>
      </w:r>
      <w:proofErr w:type="spellEnd"/>
      <w:r w:rsidRPr="009616B8">
        <w:t xml:space="preserve">. j) ZSS stanovuje SK na dobu neurčitou, tedy i služby jsou do Sítě zpravidla zařazovány na dobu neurčitou (stálé zařazení), není-li dále uvedeno jinak. Aktualizaci Sítě administruje a formálně a věcně hodnotí Odbor, který předkládá odůvodněný návrh na jednání VSV. Síť schvaluje ZK na návrh RK.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Rozvoj Sítě je řízen principem potřebnosti, rovnoměrnosti a disponibility, zejména na základě předpokladů vyjádřených v tabulce č. 21.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 xml:space="preserve">Princip potřebnosti je stanoven skutečnými potřebami konkrétních lidí v nepříznivé sociální situaci popsaných v žádosti. Sociální služba musí být v souladu se strategickými dokumenty kraje, především SPRSS a APRSS. Potřebnost sociální služby musí být vyjádřena ve stanovisku obce, včetně vyjádření finanční podpory. 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 xml:space="preserve">Princip rovnoměrnosti zohledňuje rozložení a dostupnost kapacit v území zejména jako poměr kapacit služeb sociální péče podle zastoupení cílových skupin v populaci. Pro účely posouzení tohoto principu zpracovává Odbor přehled kapacit vzájemně zastupitelných služeb typu domov pro seniory, domov se zvláštním režimem, odlehčovací služby, pečovatelská služba, osobní asistence a podpora samostatného bydlení, podle okresů nebo podle správních obvodů ORP v případě ostatních služeb. Princip se zohledňuje i u služeb sociální prevence. 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lastRenderedPageBreak/>
        <w:t xml:space="preserve">Princip disponibility zajišťuje rovnováhu mezi návrhy potřebného kapacitního posílení sítě sociálních služeb a dostupnými finančními zdroji jejich pokrytí. Rozsah meziročního navýšení lůžkových nebo úvazkových kapacit služeb sociální péče, sociální prevence a sociálního poradenství zohledňuje obvyklý nárůst v posledních třech letech. V případě nedostatku finančních prostředků se může princip disponibility promítnout do řízení sítě také v podobě pozastavení kapacitního rozvoje či jeho omezení v souladu s prioritními a specifickými opatření stanovenými v rámci APRSS.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Síť je souhrn sociálních služeb podle čl.  </w:t>
      </w:r>
      <w:proofErr w:type="gramStart"/>
      <w:r w:rsidRPr="009616B8">
        <w:t>1.1., který</w:t>
      </w:r>
      <w:proofErr w:type="gramEnd"/>
      <w:r w:rsidRPr="009616B8">
        <w:t xml:space="preserve"> obsahuje: </w:t>
      </w:r>
      <w:bookmarkStart w:id="2" w:name="_Hlk20747080"/>
      <w:r w:rsidRPr="009616B8">
        <w:t xml:space="preserve">název poskytovatele, identifikační číslo, typ poskytovatele, identifikátor sociální služby, druh sociální služby, převažující cílovou skupinu, územní působnost služby, kapacitu vyjádřenou úvazky v přímé péči nebo v případě pobytových služeb lůžky a informaci, zda jde o zařazení stálé, nebo dočasné. V případě dočasného zařazení i datum </w:t>
      </w:r>
      <w:proofErr w:type="spellStart"/>
      <w:r w:rsidRPr="009616B8">
        <w:t>expirace</w:t>
      </w:r>
      <w:proofErr w:type="spellEnd"/>
      <w:r w:rsidRPr="009616B8">
        <w:t xml:space="preserve"> zařazení. </w:t>
      </w:r>
      <w:bookmarkEnd w:id="2"/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Služby jsou do sítě zařazeny stále nebo dočasně 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>Stálé zařazení je zařazení na dobu neurčitou, což nemá vliv na dobu vydání pověření k poskytování služeb obecně hospodářského zájmu v souladu s Rozhodnutím SGEI, jak je uvedeno v </w:t>
      </w:r>
      <w:proofErr w:type="gramStart"/>
      <w:r w:rsidRPr="009616B8">
        <w:t>bodě 1. 5..</w:t>
      </w:r>
      <w:proofErr w:type="gramEnd"/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>Dočasné zařazení je zařazení z důvodu čerpání finančních zdrojů mimo rámec § 101a ZSS, např. z prostředků Operačního programu Zaměstnanost či z jiného zdroje po dobu trvání finanční podpory z daného finančního zdroje.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rPr>
          <w:rFonts w:cstheme="minorHAnsi"/>
        </w:rPr>
        <w:t xml:space="preserve">Poskytovateli služby zařazené do Sítě dočasně </w:t>
      </w:r>
      <w:r w:rsidRPr="009616B8">
        <w:t>nebo stále bude Smlouva o pověření v rozsahu rozhodnutí SGEI vystavena i bez žádosti, a to na období trvání SPRSS</w:t>
      </w:r>
      <w:r w:rsidRPr="009616B8">
        <w:rPr>
          <w:rFonts w:cstheme="minorHAnsi"/>
          <w:sz w:val="18"/>
          <w:szCs w:val="18"/>
        </w:rPr>
        <w:t xml:space="preserve"> </w:t>
      </w:r>
      <w:r w:rsidRPr="009616B8">
        <w:rPr>
          <w:rFonts w:cstheme="minorHAnsi"/>
        </w:rPr>
        <w:t xml:space="preserve">nebo do doby </w:t>
      </w:r>
      <w:proofErr w:type="spellStart"/>
      <w:r w:rsidRPr="009616B8">
        <w:rPr>
          <w:rFonts w:cstheme="minorHAnsi"/>
        </w:rPr>
        <w:t>expirace</w:t>
      </w:r>
      <w:proofErr w:type="spellEnd"/>
      <w:r w:rsidRPr="009616B8">
        <w:rPr>
          <w:rFonts w:cstheme="minorHAnsi"/>
        </w:rPr>
        <w:t xml:space="preserve"> dočasného zařazení.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V mimořádných nebo výjimečných případech může SK zvolit odlišný postup než uvedený v čl. 1.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Odbor k řízení, usměrnění a sjednocení praxe pro služby zařazené do Sítě vydává metodické pokyny.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>Harmonogram řádné aktualizace Sítě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Výzva k podání žádostí bude zveřejněna na úřední desce SK, na webových stránkách Kraje (</w:t>
      </w:r>
      <w:hyperlink r:id="rId7" w:history="1">
        <w:r w:rsidRPr="009616B8">
          <w:rPr>
            <w:color w:val="0000FF"/>
            <w:u w:val="single"/>
          </w:rPr>
          <w:t>www.kr-stredocesky.cz</w:t>
        </w:r>
      </w:hyperlink>
      <w:r w:rsidRPr="009616B8">
        <w:t xml:space="preserve">) a rozeslána službám zařazeným do Sítě prostřednictvím emailu uvedeného v Registru.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Žádost o stálé zařazení nové služby do Sítě nebo o změnu ve stávající Síti je oprávněn podat poskytovatel služby způsobem stanoveným ve Výzvě od 1. 3. do 31. 3. roku předcházejícímu zařazení. Na později podané žádosti nemusí být brán zřetel.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Ve stanoveném termínu jsou přijímány níže stanoveným způsobem také žádosti dle čl.  5.1. o úpravu kapacit služeb zařazených do Sítě k </w:t>
      </w:r>
      <w:proofErr w:type="gramStart"/>
      <w:r w:rsidRPr="009616B8">
        <w:t>1.7</w:t>
      </w:r>
      <w:proofErr w:type="gramEnd"/>
      <w:r w:rsidRPr="009616B8">
        <w:t>. předmětného roku, které budou uvedeny ve výzvě k aktualizaci kapacit stávajících služeb na úřední desce SK. Princip disponibility je v tomto případě posouzen zejména s ohledem na alokaci finančních prostředků pro mimořádné kolo DŘ.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Podané žádosti podle čl. </w:t>
      </w:r>
      <w:proofErr w:type="gramStart"/>
      <w:r w:rsidRPr="009616B8">
        <w:t>2.2</w:t>
      </w:r>
      <w:proofErr w:type="gramEnd"/>
      <w:r w:rsidRPr="009616B8">
        <w:t xml:space="preserve">.  a čl. 2.3. jsou formálně překontrolovány Odborem. Odbor případně vyzve poskytovatele k doplnění žádosti a stanoví mu lhůtu pro doplnění, která nesmí být kratší než 5 pracovních dnů. Posouzení provádí Odbor v pořadí, jak byly žádosti podány.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lastRenderedPageBreak/>
        <w:t>Na základě formálního posouzení Odboru budou stanoveny předpokládané náklady na rozvoj Sítě pro žádost o dotaci podle § 101a, odst. 3) ZSS.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Pracovníci odboru následně posoudí žádosti i věcně, a to v termínu do 31. 7. roku předcházejícímu zařazení a předloží ke schválení v nebližším možném termínu k projednání VSV, RK a ZK. Věcné posouzení obsahuje zejména posouzení skutečností dle žádosti podle čl. 3 těchto Pravidel. Součástí věcného posouzení žádosti podle čl. </w:t>
      </w:r>
      <w:proofErr w:type="gramStart"/>
      <w:r w:rsidRPr="009616B8">
        <w:t>3.1. může</w:t>
      </w:r>
      <w:proofErr w:type="gramEnd"/>
      <w:r w:rsidRPr="009616B8">
        <w:t xml:space="preserve"> být místní šetření. Stanovisko o věcném a formálním posouzení, tedy o návrhu (ne)zařazení či návrhu změny kapacity musí být Odborem odůvodněné.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V místě poskytování pobytové sociální služby navržené k zařazení dle čl. </w:t>
      </w:r>
      <w:proofErr w:type="gramStart"/>
      <w:r w:rsidRPr="009616B8">
        <w:t>3.1. vykoná</w:t>
      </w:r>
      <w:proofErr w:type="gramEnd"/>
      <w:r w:rsidRPr="009616B8">
        <w:t xml:space="preserve"> Odbor místní šetření i v předem neoznámeném termínu, a to i opakovaně, je-li to k posouzení třeba. Zpráva o místním šetření bude jedním z kritérií při celkovém posuzování žádosti. Stejný postup může Odbor zvolit v případě terénní nebo ambulantní služby, vyžadují-li to okolnosti posuzování.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Zdůvodnění návrhu o (ne)zařazení do Sítě a zdůvodnění návrhu změny stávající kapacity dle bodu </w:t>
      </w:r>
      <w:proofErr w:type="gramStart"/>
      <w:r w:rsidRPr="009616B8">
        <w:t>2.3., stejně</w:t>
      </w:r>
      <w:proofErr w:type="gramEnd"/>
      <w:r w:rsidRPr="009616B8">
        <w:t xml:space="preserve"> tak jako i přehled formálně vyřazených žádostí bude součástí materiálu, který bude předložen k projednání VSV, RK a ZK. Platná Síť bude vždy zveřejněna na webových stránkách Kraje (</w:t>
      </w:r>
      <w:hyperlink r:id="rId8" w:history="1">
        <w:r w:rsidRPr="009616B8">
          <w:rPr>
            <w:color w:val="0000FF"/>
            <w:u w:val="single"/>
          </w:rPr>
          <w:t>www.kr-stredocesky.cz</w:t>
        </w:r>
      </w:hyperlink>
      <w:r w:rsidRPr="009616B8">
        <w:t xml:space="preserve">). 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 xml:space="preserve">Žádost o zařazení do Sítě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Žádost o zařazení do Sítě pro služby podle čl. 2.1 těchto pravidel obsahuje informace o potřebnosti, dostupnosti, transparentnosti, legalitě, kvalitě, materiálním zajištění, a údaje dle čl. 2.3 Pravidel. 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 xml:space="preserve">Oblast potřebnosti a dostupnosti obsahuje především: stanovení cílové skupiny, včetně bližšího vymezení; provozní dobu; stručný popis potřebnosti služby konkrétními osobami; popis způsobu stanovení kapacity služby; 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>Oblast transparentnosti a legality obsahuje především: identifikátor sociální služby nebo informaci, kdy o registraci bude požádáno</w:t>
      </w:r>
      <w:r w:rsidRPr="009616B8">
        <w:rPr>
          <w:rFonts w:cstheme="minorHAnsi"/>
          <w:sz w:val="20"/>
          <w:szCs w:val="20"/>
          <w:vertAlign w:val="superscript"/>
        </w:rPr>
        <w:footnoteReference w:id="1"/>
      </w:r>
      <w:r w:rsidRPr="009616B8">
        <w:t>; druh služby; úplný ceník služeb a další platby</w:t>
      </w:r>
      <w:r w:rsidRPr="009616B8">
        <w:rPr>
          <w:rFonts w:cstheme="minorHAnsi"/>
          <w:sz w:val="20"/>
          <w:szCs w:val="20"/>
          <w:vertAlign w:val="superscript"/>
        </w:rPr>
        <w:footnoteReference w:id="2"/>
      </w:r>
      <w:r w:rsidRPr="009616B8">
        <w:t xml:space="preserve"> (osoby, nebo dalších osob) spojené se zahájením poskytování a poskytováním služby; adresy míst poskytování služby nebo garanci území, pro které bude služba dostupná; souhlas s místním šetřením; vzor smlouvy o poskytování sociální služby, je-li nebo může-li být uzavírána písemně dle § 91 ZSS a potvrzení o spolufinancování obcí nebo obcemi. 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>Oblast kvality a materiálního zajištění obsahuje především: počet sociálních pracovníků, pracovníků v sociálních službách, pedagogických pracovníků, zdravotních pracovníků, dalších odborných pracovníků poskytujících přímo sociální služby; stručný popis, jaké jiné konkrétní služby jsou zprostředkovány;</w:t>
      </w:r>
    </w:p>
    <w:p w:rsidR="009616B8" w:rsidRPr="009616B8" w:rsidRDefault="009616B8" w:rsidP="009616B8">
      <w:pPr>
        <w:numPr>
          <w:ilvl w:val="2"/>
          <w:numId w:val="1"/>
        </w:numPr>
        <w:spacing w:line="312" w:lineRule="auto"/>
        <w:contextualSpacing/>
        <w:jc w:val="both"/>
      </w:pPr>
      <w:r w:rsidRPr="009616B8">
        <w:t>Žádost o zařazení nebo úpravu kapacit pobytové služby, kterou nezřizuje Kraj, obsahuje doporučení rady nebo zastupitelstva obce, v jejímž obvodu se služba nachází s uvedením údaje o spolufinancování. Doporučení rady nebo zastupitelstva obce si může Odbor vyžádat prostřednictvím poskytovatele i dodatečně k jakékoliv žádosti o zařazení.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lastRenderedPageBreak/>
        <w:t xml:space="preserve">Pro účely posouzení žádosti o zařazení sociální služby či o změnu její kapacity služby je doloženo rovněž stanovisko ORP, podle místa poskytování služby nebo místa, kde jsou uspokojovány potřeby, zda služba nebo nová kapacita je v souladu s koordinovaným přístupem k sociálním službám ve správním území. </w:t>
      </w: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>Žádost o úpravu kapacit stávajících služeb zařazených do Sítě k 1. 7. předmětného roku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Žádost o úpravu kapacit podle čl. 2.3 obsahuje: identifikátor služby, druh služby, návrh nové kapacity, popis způsobu jejího stanovení a odůvodnění vycházející z principů potřebnosti a vyjádření obce k závazku financování dle čl. 3.1.4. 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>Dočasné zařazení služby do Sítě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O dočasné zařazení může poskytovatel služby požádat kdykoliv. K dočasnému zařazení podá poskytovatel žádost volnou formou, kde uvede všechny relevantní informace včetně období zařazení do Sítě. Odbor si může vyžádat doplnění informací k posouzení žádosti. O dočasném zařazení rozhoduje RK. Odbor tuto aktualizaci předloží pro informaci na ZK při nejbližší aktualizaci Sítě. 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>Aktualizace Sítě pro osoby s chováním náročným na péči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Od září roku předcházejícímu roku platnosti Sítě provádí Odbor aktualizaci lůžek pro osoby s chováním náročným na péči (takzvaná lůžka pro osoby s problémovým chováním). Odbor aktualizuje počty lůžek, z nichž osoby s chováním náročným na péči v průběhu aktuálního roku přišly anebo odešly.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Kritéria pro zařazení uživatele na takové lůžko jsou: má uzavřenou smlouvu o poskytování sociální služby, má přiznaný stupeň závislosti I. – IV., je starší 12 let, vykazuje projevy chování jako je výbušnost, popudlivost, podezřívavost, rozbíjení věcí, veřejná onanie, stálé riziko ublížení sobě, pečující osobě nebo jiné osobě a vyžaduje každodenní usměrnění problémového chování.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 xml:space="preserve">Vyřazení sociální služby ze Sítě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Sociální služba může být vyřazena ze Sítě v případech zrušení registrace sociální služby nebo neplněním povinností poskytovatele stanovených smlouvami mezi SK a poskytovatelem sociální služby, uvedením nepravdivých skutečností v žádosti o zařazení nebo </w:t>
      </w:r>
      <w:proofErr w:type="spellStart"/>
      <w:r w:rsidRPr="009616B8">
        <w:t>expirací</w:t>
      </w:r>
      <w:proofErr w:type="spellEnd"/>
      <w:r w:rsidRPr="009616B8">
        <w:t xml:space="preserve"> dočasného pověření a z důvodu nepotřebnosti na podnět příslušné ORP, obce nebo bez takového podnětu.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Vyřazení sociální služby ze Sítě bude včetně příslušného odůvodnění předloženo Odborem k projednání ve VSV. O vyřazení ze Sítě rozhoduje ZK na základě doporučení RK. V případě zrušení registrace je služba ze Sítě vyřazena automaticky, s následným uvědoměním RK a ZK při nejbližší aktualizaci Sítě.</w:t>
      </w:r>
    </w:p>
    <w:p w:rsidR="009616B8" w:rsidRPr="009616B8" w:rsidRDefault="009616B8" w:rsidP="009616B8">
      <w:pPr>
        <w:spacing w:line="312" w:lineRule="auto"/>
        <w:ind w:left="360"/>
        <w:contextualSpacing/>
        <w:jc w:val="both"/>
      </w:pPr>
    </w:p>
    <w:p w:rsidR="009616B8" w:rsidRPr="009616B8" w:rsidRDefault="009616B8" w:rsidP="009616B8">
      <w:pPr>
        <w:numPr>
          <w:ilvl w:val="0"/>
          <w:numId w:val="1"/>
        </w:numPr>
        <w:spacing w:line="312" w:lineRule="auto"/>
        <w:contextualSpacing/>
        <w:jc w:val="both"/>
      </w:pPr>
      <w:r w:rsidRPr="009616B8">
        <w:t>Přechodná a závěrečná ustanovení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 xml:space="preserve">Formální změny v údajích podle čl. </w:t>
      </w:r>
      <w:proofErr w:type="gramStart"/>
      <w:r w:rsidRPr="009616B8">
        <w:t>1.3., které</w:t>
      </w:r>
      <w:proofErr w:type="gramEnd"/>
      <w:r w:rsidRPr="009616B8">
        <w:t xml:space="preserve"> nemají vliv na rozpočet SK, schvaluje RK. 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t>Pro účely DŘ na rok 2020 jsou služby označené jako stálé míněny ty služby, které byly do roku 2019 označeny symbolem „+/+“.</w:t>
      </w:r>
    </w:p>
    <w:p w:rsidR="009616B8" w:rsidRPr="009616B8" w:rsidRDefault="009616B8" w:rsidP="009616B8">
      <w:pPr>
        <w:numPr>
          <w:ilvl w:val="1"/>
          <w:numId w:val="1"/>
        </w:numPr>
        <w:spacing w:line="312" w:lineRule="auto"/>
        <w:contextualSpacing/>
        <w:jc w:val="both"/>
      </w:pPr>
      <w:r w:rsidRPr="009616B8">
        <w:lastRenderedPageBreak/>
        <w:t xml:space="preserve">Služby označené v Síti platné do 31. 12. 2019 jako „+/CDZ“, „+/MAS“ a „+/KPSVL“ budou označeny v Síti podle těchto pravidel jako dočasně zařazené. Datum </w:t>
      </w:r>
      <w:proofErr w:type="spellStart"/>
      <w:r w:rsidRPr="009616B8">
        <w:t>expirace</w:t>
      </w:r>
      <w:proofErr w:type="spellEnd"/>
      <w:r w:rsidRPr="009616B8">
        <w:t xml:space="preserve"> vyznačí Odbor jako datum konce platnosti stávající Smlouvy o pověření v režimu Rozhodnutí SGEI.</w:t>
      </w:r>
    </w:p>
    <w:p w:rsidR="00745820" w:rsidRDefault="00745820"/>
    <w:sectPr w:rsidR="0074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CD" w:rsidRDefault="00B74CCD" w:rsidP="009616B8">
      <w:pPr>
        <w:spacing w:after="0" w:line="240" w:lineRule="auto"/>
      </w:pPr>
      <w:r>
        <w:separator/>
      </w:r>
    </w:p>
  </w:endnote>
  <w:endnote w:type="continuationSeparator" w:id="0">
    <w:p w:rsidR="00B74CCD" w:rsidRDefault="00B74CCD" w:rsidP="0096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CD" w:rsidRDefault="00B74CCD" w:rsidP="009616B8">
      <w:pPr>
        <w:spacing w:after="0" w:line="240" w:lineRule="auto"/>
      </w:pPr>
      <w:r>
        <w:separator/>
      </w:r>
    </w:p>
  </w:footnote>
  <w:footnote w:type="continuationSeparator" w:id="0">
    <w:p w:rsidR="00B74CCD" w:rsidRDefault="00B74CCD" w:rsidP="009616B8">
      <w:pPr>
        <w:spacing w:after="0" w:line="240" w:lineRule="auto"/>
      </w:pPr>
      <w:r>
        <w:continuationSeparator/>
      </w:r>
    </w:p>
  </w:footnote>
  <w:footnote w:id="1">
    <w:p w:rsidR="009616B8" w:rsidRPr="00BB6019" w:rsidRDefault="009616B8" w:rsidP="009616B8">
      <w:pPr>
        <w:pStyle w:val="Textpoznpodarou"/>
        <w:jc w:val="left"/>
        <w:rPr>
          <w:rFonts w:asciiTheme="minorHAnsi" w:hAnsiTheme="minorHAnsi" w:cstheme="minorHAnsi"/>
          <w:sz w:val="18"/>
          <w:szCs w:val="18"/>
        </w:rPr>
      </w:pPr>
      <w:r w:rsidRPr="00BB601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B6019">
        <w:rPr>
          <w:rFonts w:asciiTheme="minorHAnsi" w:hAnsiTheme="minorHAnsi" w:cstheme="minorHAnsi"/>
          <w:sz w:val="18"/>
          <w:szCs w:val="18"/>
        </w:rPr>
        <w:t xml:space="preserve"> V Případě, že o registraci nebylo dosud požádáno, je k žádosti přiložena kopie žádosti o registraci, která bude později při registraci použita. </w:t>
      </w:r>
    </w:p>
  </w:footnote>
  <w:footnote w:id="2">
    <w:p w:rsidR="009616B8" w:rsidRPr="00BB6019" w:rsidRDefault="009616B8" w:rsidP="009616B8">
      <w:pPr>
        <w:pStyle w:val="Textpoznpodarou"/>
        <w:jc w:val="left"/>
        <w:rPr>
          <w:rFonts w:asciiTheme="minorHAnsi" w:hAnsiTheme="minorHAnsi" w:cstheme="minorHAnsi"/>
          <w:sz w:val="18"/>
          <w:szCs w:val="18"/>
        </w:rPr>
      </w:pPr>
      <w:r w:rsidRPr="00BB601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B6019">
        <w:rPr>
          <w:rFonts w:asciiTheme="minorHAnsi" w:hAnsiTheme="minorHAnsi" w:cstheme="minorHAnsi"/>
          <w:sz w:val="18"/>
          <w:szCs w:val="18"/>
        </w:rPr>
        <w:t xml:space="preserve"> Zálohy, či jiné platby a dary.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F474C"/>
    <w:multiLevelType w:val="multilevel"/>
    <w:tmpl w:val="F92C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507584"/>
    <w:multiLevelType w:val="hybridMultilevel"/>
    <w:tmpl w:val="28022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B8"/>
    <w:rsid w:val="00745820"/>
    <w:rsid w:val="009616B8"/>
    <w:rsid w:val="00B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C2111-F86F-4DE4-B9F6-7B7F6D0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9616B8"/>
    <w:pPr>
      <w:spacing w:after="0" w:line="240" w:lineRule="auto"/>
      <w:jc w:val="both"/>
    </w:pPr>
    <w:rPr>
      <w:rFonts w:ascii="Palatino Linotype" w:eastAsia="Times New Roman" w:hAnsi="Palatino Linotype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6B8"/>
    <w:rPr>
      <w:rFonts w:ascii="Palatino Linotype" w:eastAsia="Times New Roman" w:hAnsi="Palatino Linotype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961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stred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stredoce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Melechovská Puršlová Markéta</dc:creator>
  <cp:keywords/>
  <dc:description/>
  <cp:lastModifiedBy>Melechovská Puršlová Markéta</cp:lastModifiedBy>
  <cp:revision>1</cp:revision>
  <dcterms:created xsi:type="dcterms:W3CDTF">2021-07-23T12:03:00Z</dcterms:created>
  <dcterms:modified xsi:type="dcterms:W3CDTF">2021-07-23T12:05:00Z</dcterms:modified>
</cp:coreProperties>
</file>