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78" w:rsidRPr="00B47678" w:rsidRDefault="00B47678" w:rsidP="00B47678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5BBE45BB" wp14:editId="2D8601DC">
            <wp:extent cx="2257425" cy="40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Program 2018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pro poskytování dotací z rozpočtu Středočeského kraje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na Environmentální vzdělávání, výchovu a osvětu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47678" w:rsidRPr="00B47678" w:rsidRDefault="00B47678" w:rsidP="00B47678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Středočeského kraje schválilo usnesením č. </w:t>
      </w:r>
      <w:r w:rsidR="004F54BC">
        <w:rPr>
          <w:rFonts w:ascii="Times New Roman" w:eastAsia="Times New Roman" w:hAnsi="Times New Roman" w:cs="Times New Roman"/>
          <w:sz w:val="24"/>
          <w:szCs w:val="24"/>
          <w:lang w:eastAsia="cs-CZ"/>
        </w:rPr>
        <w:t>058-11/2017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 dne </w:t>
      </w:r>
      <w:r w:rsidR="004F54BC">
        <w:rPr>
          <w:rFonts w:ascii="Times New Roman" w:eastAsia="Times New Roman" w:hAnsi="Times New Roman" w:cs="Times New Roman"/>
          <w:sz w:val="24"/>
          <w:szCs w:val="24"/>
          <w:lang w:eastAsia="cs-CZ"/>
        </w:rPr>
        <w:t>5. 12. 2017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„Program 2018 pro poskytování dotací z rozpočtu Středočeského kraje na Environmentální vzdělávání, výchovu a osvětu“ (dále jen „Program“)</w:t>
      </w:r>
      <w:r w:rsidRPr="00B476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:</w:t>
      </w:r>
    </w:p>
    <w:p w:rsidR="00B47678" w:rsidRPr="00B47678" w:rsidRDefault="00B47678" w:rsidP="00B476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1</w:t>
      </w: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B47678" w:rsidRPr="00B47678" w:rsidRDefault="00B47678" w:rsidP="00B47678">
      <w:pPr>
        <w:spacing w:before="120"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 dotace dle Programu je Středočeský kraj.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Programem se rozumí souhrn věcných, časových a finančních podmínek podpory účelu určeného Středočeským krajem v Programu.</w:t>
      </w:r>
    </w:p>
    <w:p w:rsidR="00B47678" w:rsidRPr="00B47678" w:rsidRDefault="00B47678" w:rsidP="00B47678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 se rozumí peněžní prostředky poskytnuté z rozpočtu Středočeského kraje právnické nebo fyzické osobě na účel stanovený v Programu (dále jen „dotace“).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Dotaci lze poskytnout na základě žádosti o poskytnutí dotace prostřednictvím veřejnoprávní smlouvy (dále jen „žádost“).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Na poskytnutí dotace na základě žádosti není právní nárok.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O poskytnutí dotace z Programu rozhoduje Zastupitelstvo Středočeského kraje (dále jen „Zastupitelstvo“).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Dotace </w:t>
      </w: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je účelová a poskytuje se na základě veřejnoprávní smlouvy o poskytnutí dotace z Programu (dále jen</w:t>
      </w:r>
      <w:r w:rsidR="00B51DE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“smlouva“), uzavřené mezi Středočeským krajem a příjemcem dotace (dále jen „příjemce“).  </w:t>
      </w:r>
    </w:p>
    <w:p w:rsidR="00B47678" w:rsidRPr="00B47678" w:rsidRDefault="00B47678" w:rsidP="00B47678">
      <w:pPr>
        <w:widowControl w:val="0"/>
        <w:numPr>
          <w:ilvl w:val="0"/>
          <w:numId w:val="1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Environmentální výchova, vzdělávání a osvěta (dále jen „EVVO“) by měla vést k myšlení a jednání, které je v souladu s principem trvale udržitelného rozvoje, k vědomí odpovědnosti za udržení kvality životního prostředí a k úctě k životu ve všech jeho formách.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2</w:t>
      </w:r>
    </w:p>
    <w:p w:rsid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dotace a důvody podpory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47678" w:rsidRPr="00B47678" w:rsidRDefault="00B47678" w:rsidP="00B4767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dle tohoto Programu lze poskytnout pouze na účel, který je vymezen v rámci těchto Tematických zadání:</w:t>
      </w:r>
    </w:p>
    <w:p w:rsidR="00B47678" w:rsidRPr="00B47678" w:rsidRDefault="00B47678" w:rsidP="00B47678">
      <w:pPr>
        <w:numPr>
          <w:ilvl w:val="4"/>
          <w:numId w:val="1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Osvětová činnost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podpora ekologických výukových programů, osvětových akcí, přednášek, seminářů, dalšího vzdělávání pedagogických pracovníků, odborných exkurzí, pobytů v naučných střediscích ekologické výchovy, terénních cvičení, naučných a osvětových materiálů, výstav, naučných stezek atd. </w:t>
      </w:r>
    </w:p>
    <w:p w:rsidR="00B47678" w:rsidRPr="00B47678" w:rsidRDefault="00B47678" w:rsidP="00B47678">
      <w:pPr>
        <w:numPr>
          <w:ilvl w:val="4"/>
          <w:numId w:val="1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Podpora realizace „zelené školní učebny“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přeměny tradičních školních zahrad na přírodě blízké prostředí a jejich využití v rámci EVVO, podpora výsadby rostlin a stromů, vybavení, naučné stezky, základní terénní úpravy</w:t>
      </w:r>
    </w:p>
    <w:p w:rsidR="00B47678" w:rsidRPr="00B47678" w:rsidRDefault="00B47678" w:rsidP="00B47678">
      <w:pPr>
        <w:numPr>
          <w:ilvl w:val="4"/>
          <w:numId w:val="1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Podpora přeměny zahrad u mateřských školek na zahrady a hřiště v přírodním stylu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, podpora lesních MŠ – nákup vybavení a herních prvků z přírodního materiálu</w:t>
      </w:r>
    </w:p>
    <w:p w:rsidR="00B47678" w:rsidRPr="00B47678" w:rsidRDefault="00B47678" w:rsidP="00B47678">
      <w:pPr>
        <w:numPr>
          <w:ilvl w:val="4"/>
          <w:numId w:val="1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Vytváření technického a odborného zázemí středisek EVVO a jejich aktivit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projektová dokumentace, realizace staveb, rekonstrukce staveb, pořízení technického vybavení, materiálu a pomůcek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Cílem Programu je zvyšování environmentální gramotnosti obyvatel na území Středočeského kraje, která úzce souvisí se vzděláním k udržitelnému rozvoji v souladu s krajskou koncepcí EVVO  v letech 2011 - 2020.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3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Objem peněžních prostředků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ind w:left="425" w:hanging="425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16"/>
          <w:szCs w:val="16"/>
          <w:lang w:eastAsia="zh-CN" w:bidi="hi-IN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Předpokládaný</w:t>
      </w:r>
      <w:r w:rsidRPr="00B47678">
        <w:rPr>
          <w:rFonts w:ascii="Times New Roman" w:eastAsia="Arial Unicode MS" w:hAnsi="Times New Roman" w:cs="Mangal"/>
          <w:bCs/>
          <w:i/>
          <w:kern w:val="3"/>
          <w:sz w:val="24"/>
          <w:szCs w:val="24"/>
          <w:lang w:eastAsia="zh-CN" w:bidi="hi-IN"/>
        </w:rPr>
        <w:t xml:space="preserve"> </w:t>
      </w:r>
      <w:r w:rsidRPr="00B4767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celkový objem peněžních prostředků vyčleněných v rozpočtu Středočeského kraje na podporu stanoveného účelu je 7 000 000 Kč.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Článek 4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Výše a charakter dotace, uznatelné a neuznatelné výdaje akce/projektu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16"/>
          <w:szCs w:val="16"/>
          <w:lang w:eastAsia="zh-CN" w:bidi="hi-IN"/>
        </w:rPr>
      </w:pP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Minimální výše požadované dotace je stanovena na 10 000 Kč.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Maximální výše požadované dotace je stanovena na 1 000 000 Kč.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poskytována i na finanční náklady akce/projektu spočívající v uhrazené dani z přidané hodnoty v souvislosti s realizací akce/projektu, a to v těchto případech: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příjemce registrovaným plátcem daně z přidané hodnoty dle zákona č. 235/2004 Sb., o dani z přidané hodnoty, ve znění pozdějších předpisů (dále jen „zákon č. 235/2004 Sb.“),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však nevznikl v souvislosti s realizací akce/projektu nárok na odpočet uhrazené daně z přidané hodnoty dle zákona č. 235/2004 Sb.,</w:t>
      </w:r>
    </w:p>
    <w:p w:rsidR="00B47678" w:rsidRPr="00B47678" w:rsidRDefault="00B47678" w:rsidP="00B47678">
      <w:pPr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příjemce registrovaným plátcem daně z přidané hodnoty, kterému vznikl v souvislosti s realizací akce/projektu pouze částečný nárok na odpočet uhrazené daně z přidané hodnoty; v tomto případě je příjemci poskytována dotace i na finanční náklady akce/projektu spočívající v uhrazené dani z přidané hodnoty, u níž příjemci nevznikl nárok na odpočet daně z přidané hodnoty dle zákona č. 235/2004 Sb.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není poskytována na finanční náklady akce/projektu spočívající v uhrazené dani z přidané hodnoty v souvislosti s realizací akce/projektu, je-li příjemce registrovaným plátcem daně z přidané hodnoty, kterému vznikl v souvislosti s realizací akce/projektu nárok na odpočet daně z přidané hodnoty ve výši uhrazené daně z přidané hodnoty dle zákona č. 235/2004/ Sb.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Žadatel před podáním žádosti důsledně analyzuje, zda se jedná o akci/projekt investičního charakteru či neinvestičního charakteru nebo případně kombinaci investičního a neinvestičního charakteru. Na základě této analýzy žádá o poskytnutí dotace s investičním charakterem, nebo s neinvestičním charakterem nebo případně s kombinací investičního a neinvestičního charakteru.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Budou-li náklady akce/projektu nižší oproti předpokládaným, z nichž byla dotace vypočtena, příjemce vrátí alikvotní část poskytnuté dotace.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skutečné celkové náklady akce/projektu překročí souhrn předpokládaných nákladů na realizaci akce/projektu, uhradí příjemce částku tohoto překročení z vlastních zdrojů.</w:t>
      </w: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náklady (včetně nákladů režijních) hrazené z dotace i ze spoluúčasti musí mít přímou a prokazatelnou souvislost s realizovaným projektem, musí být zaneseny v účetnictví žadatele a doloženy prvotními doklady.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lze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dotace: 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včetně odvodů zaměstnavatele, které jsou odměnou za realizaci akce/projektu a ostatní osobní výdaje (DPP, DPČ), a to maximálně ve výši 50 % z celkové výše poskytnuté dotace.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Režijní náklady – v prostorách pronajatých a využívaných příjemcem dotace k administraci a realizaci akce/projektu (nájemné, služby související s nájemným – plyn, teplo, elektřina, voda), a to maximálně ve výši 20 % z celkové výše poskytnuté dotace.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cestovní náhrady, pohonné hmoty, věcné ceny při soutěžích.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materiálu (výdaje na pořízení spotřebního materiálu souvisejícího s akcí/projektem).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Drobný hmotný dlouhodobý majetek s pořizovací hodnotou od 3 000 Kč do 40 000 Kč, případně dlouhodobý hmotný majetek s pořizovací hodnotou vyšší než 40 000 Kč, a to s výjimkami uvedenými v čl. 4, bod 10 a 11.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 a ubytování ve střediscích ekologické výchovy, na odborných exkurzích, osvětových akcích apod.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– např. pronájem prostor a techniky, tisk, distribuce publikací, grafické práce, služby odborných školitelů a průvodců.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přeměnu tradičních zahrad u škol a školek na přírodě blízké prostředí, hřiště v přírodním stylu apod. (výsadba rostlin a stromů, vybavení, naučné stezky, základní terénní úpravy, herní prvky z přírodního materiálu atd.).</w:t>
      </w:r>
    </w:p>
    <w:p w:rsidR="00B47678" w:rsidRPr="00B47678" w:rsidRDefault="00B47678" w:rsidP="00B47678">
      <w:pPr>
        <w:numPr>
          <w:ilvl w:val="0"/>
          <w:numId w:val="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vybudování nebo rekonstrukci prostor prokazatelně využívaných v rámci EVVO. </w:t>
      </w:r>
    </w:p>
    <w:p w:rsidR="00B47678" w:rsidRPr="00B47678" w:rsidRDefault="00B47678" w:rsidP="00B476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Náklady, které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nelze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hradit z poskytnuté dotace, ale mohou být součástí rozpočtu akce/projektu, pokud budou hrazeny v rámci finanční spoluúčasti žadatele, </w:t>
      </w:r>
      <w:proofErr w:type="gramStart"/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tzn. musí</w:t>
      </w:r>
      <w:proofErr w:type="gramEnd"/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být vykázány jako „vlastní zdroje“:</w:t>
      </w:r>
    </w:p>
    <w:p w:rsidR="00B47678" w:rsidRPr="00B47678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Mzdové náklady včetně odvodů zaměstnavatele, které jsou odměnou za realizaci akce/projektu a ostatní osobní výdaje (DPP, DPČ), vyšší než 50 % z celkové výše poskytnuté dotace.</w:t>
      </w:r>
    </w:p>
    <w:p w:rsidR="00B47678" w:rsidRPr="00B47678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lastRenderedPageBreak/>
        <w:t>Režijní náklady – v prostorách pronajatých a využívaných příjemcem dotace k administraci a realizaci akce/projektu (nájemné, služby související s nájemným – plyn, teplo, elektřina, voda), vyšší než 20 % z celkové výše poskytnuté dotace.</w:t>
      </w:r>
    </w:p>
    <w:p w:rsidR="00B47678" w:rsidRPr="00B47678" w:rsidRDefault="00B47678" w:rsidP="00B4767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Dobrovolnická práce.</w:t>
      </w:r>
    </w:p>
    <w:p w:rsidR="00B47678" w:rsidRPr="00B47678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Občerstvení a stravování.</w:t>
      </w:r>
    </w:p>
    <w:p w:rsidR="00B47678" w:rsidRPr="00B47678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Výdaje na telefony, internet, poštovné.</w:t>
      </w:r>
    </w:p>
    <w:p w:rsidR="00B47678" w:rsidRPr="00B47678" w:rsidRDefault="00B47678" w:rsidP="00B47678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Stavební a řemeslnická technika, kuchyňské spotřebiče, dataprojektory, počítače, notebooky, tablety, televizory, fotoaparáty, GPS přijímače, MP3 přehrávače, zvuková technika.</w:t>
      </w:r>
    </w:p>
    <w:p w:rsidR="00B47678" w:rsidRPr="00B47678" w:rsidRDefault="00B47678" w:rsidP="00B47678">
      <w:pPr>
        <w:spacing w:before="120"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B47678" w:rsidRDefault="00B47678" w:rsidP="00B47678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b/>
          <w:sz w:val="24"/>
          <w:szCs w:val="24"/>
          <w:u w:val="single"/>
        </w:rPr>
        <w:t>Neuznatelné náklady</w:t>
      </w:r>
      <w:r w:rsidRPr="00B47678">
        <w:rPr>
          <w:rFonts w:ascii="Times New Roman" w:eastAsia="Calibri" w:hAnsi="Times New Roman" w:cs="Times New Roman"/>
          <w:b/>
          <w:sz w:val="24"/>
          <w:szCs w:val="24"/>
        </w:rPr>
        <w:t>, které nesmí být součástí rozpočtu akce/projektu</w:t>
      </w:r>
      <w:r w:rsidRPr="00B476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Dary (s výjimkou věcných cen při soutěžích), kapesné, bankovní poplatky, splátky půjček.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Úhrada nákladů spojená s vypracováním nabídky akce/projektu (náklady spojené s podáním žádostí o dotaci prostřednictvím veřejnoprávní smlouvy).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Cestovní náhrady nad rámec vymezený zákonem.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Nemovitosti a pozemky, dopravní prostředky.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Výdaje na úpravy školních zahrad, které nenaplňují základní smysl dotačního programu, běžná údržba školních zahrad nebo řešení havarijních situací, budování zahradních altánů a pergol bez prokazatelně převažujícího využití pro účely výuky v oblasti EVVO.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DPH, o jejíž vrácení má příjemce právo zpětně žádat.</w:t>
      </w:r>
    </w:p>
    <w:p w:rsidR="00B47678" w:rsidRPr="00B47678" w:rsidRDefault="00B47678" w:rsidP="00B476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678">
        <w:rPr>
          <w:rFonts w:ascii="Times New Roman" w:eastAsia="Calibri" w:hAnsi="Times New Roman" w:cs="Times New Roman"/>
          <w:sz w:val="24"/>
          <w:szCs w:val="24"/>
        </w:rPr>
        <w:t>Ostatní výdaje, u kterých nelze prokázat jejich přímý vztah k akci/projektu.</w:t>
      </w:r>
    </w:p>
    <w:p w:rsidR="00B47678" w:rsidRPr="00B47678" w:rsidRDefault="00B47678" w:rsidP="00B47678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Článek 5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Lhůta pro podání žádostí,</w:t>
      </w:r>
      <w:r w:rsidRPr="00B4767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 xml:space="preserve"> okruh způsobilých žadatelů,</w:t>
      </w: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  <w:r w:rsidRPr="00B47678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způsob podání žádosti, povinné přílohy žádosti, počet žádostí</w:t>
      </w:r>
    </w:p>
    <w:p w:rsidR="00B47678" w:rsidRPr="00B47678" w:rsidRDefault="00B47678" w:rsidP="00B4767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16"/>
          <w:szCs w:val="16"/>
          <w:lang w:eastAsia="zh-CN" w:bidi="hi-IN"/>
        </w:rPr>
      </w:pP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Lhůta pro podání žádostí je stanovena 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29. ledna 2018 od 9:00 hodin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9. března 2018 do 15:00 hodin.  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47678" w:rsidRPr="00B47678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Žadatelem o dotaci může být právnická osoba, nestátní nezisková organizace, obec, příspěvková organizace,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jejímž zřizovatelem není Středočeský kraj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obchodní společnost aj., podnikající fyzická osoba (OSVČ) a fyzická osoba nepodnikající,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vyvíjející ve Středočeském kraji veřejně prospěšnou činnost v oblasti EVVO.</w:t>
      </w:r>
    </w:p>
    <w:p w:rsidR="00B47678" w:rsidRPr="00B47678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 může předložit v rámci tohoto Programu více žádostí, a to samostatně na každou akci/projekt, který splňuje požadavky tohoto Programu, maximálně však v celkovém součtu požadovaných dotací uvedených v žádostech žadatele ve výši 1 000 000,- Kč.</w:t>
      </w:r>
    </w:p>
    <w:p w:rsidR="00B47678" w:rsidRPr="00B47678" w:rsidRDefault="00B47678" w:rsidP="00B47678">
      <w:pPr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 rámci jedné žádosti nelze kombinovat více Tematických zadání.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podání žádosti a jejich povinné přílohy stanovuje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„Metodický pokyn k podávání žádostí o dotace prostřednictvím veřejnoprávní smlouvy z Programu 2018 pro poskytování dotací z rozpočtu Středočeského kraje na Environmentální vzdělávání, výchovu a osvětu“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 1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(dále jen „Metodický pokyn k podávání žádostí“) a je jeho nedílnou součástí.</w:t>
      </w:r>
    </w:p>
    <w:p w:rsidR="00B47678" w:rsidRPr="00B47678" w:rsidRDefault="00B47678" w:rsidP="00B47678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Vzor Žádosti o poskytnutí dotace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 2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tomuto Programu a je jeho nedílnou součástí. Součástí Žádosti o poskytnutí dotace je povinné prohlášení žadatele.</w:t>
      </w:r>
    </w:p>
    <w:p w:rsidR="00B47678" w:rsidRPr="00B47678" w:rsidRDefault="00B47678" w:rsidP="00B47678">
      <w:pPr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 Vzor Čestného prohlášení žadatele o podporu v režimu de </w:t>
      </w:r>
      <w:proofErr w:type="spellStart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 </w:t>
      </w:r>
      <w:r w:rsidRPr="00B476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Příloze č. 3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tomuto Programu a je jeho nedílnou součástí. </w:t>
      </w:r>
    </w:p>
    <w:p w:rsidR="00B47678" w:rsidRPr="00B47678" w:rsidRDefault="00B47678" w:rsidP="00B476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6</w:t>
      </w:r>
    </w:p>
    <w:p w:rsidR="00B47678" w:rsidRPr="00B47678" w:rsidRDefault="00B47678" w:rsidP="00B47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Hodnocení žádostí a lhůta pro rozhodnutí o žádosti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budou hodnoceny podle hodnoticích kritérií. Bodový součet kritérií je maximálně 100 bodů:</w:t>
      </w:r>
    </w:p>
    <w:p w:rsidR="00B47678" w:rsidRPr="00B47678" w:rsidRDefault="00B47678" w:rsidP="00B47678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tblpXSpec="center" w:tblpY="1"/>
        <w:tblOverlap w:val="never"/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418"/>
      </w:tblGrid>
      <w:tr w:rsidR="00B47678" w:rsidRPr="00B47678" w:rsidTr="00020345">
        <w:trPr>
          <w:trHeight w:val="553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Kvalita projektu a zpracování žádosti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Max. </w:t>
            </w:r>
          </w:p>
        </w:tc>
      </w:tr>
      <w:tr w:rsidR="00B47678" w:rsidRPr="00B47678" w:rsidTr="00020345">
        <w:trPr>
          <w:trHeight w:val="66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Soulad projektu s vyhlášeným Programem, naplnění cílů Programu a Koncepce EVVO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6 bodů</w:t>
            </w:r>
          </w:p>
        </w:tc>
      </w:tr>
      <w:tr w:rsidR="00B47678" w:rsidRPr="00B47678" w:rsidTr="00020345">
        <w:trPr>
          <w:trHeight w:val="475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není v souladu s vyhlášeným Programem, nesplňuje podstatu vymezenou Tematickým zadáním.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465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je částečně v souladu s vyhlášeným Programem, Tematickému zadání odpovídá pouze okrajově.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465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je v souladu s vyhlášeným Programem, splňuje podstatu vymezenou Tematickým zadáním.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Aktivity projektu jsou srozumitelně popsány, jsou logicky členěny.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6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4"/>
            </w:tblGrid>
            <w:tr w:rsidR="00B47678" w:rsidRPr="00B47678" w:rsidTr="00020345">
              <w:trPr>
                <w:trHeight w:val="613"/>
              </w:trPr>
              <w:tc>
                <w:tcPr>
                  <w:tcW w:w="0" w:type="auto"/>
                </w:tcPr>
                <w:p w:rsidR="00B47678" w:rsidRPr="00B47678" w:rsidRDefault="00B47678" w:rsidP="00B47678">
                  <w:pPr>
                    <w:framePr w:hSpace="141" w:wrap="around" w:vAnchor="text" w:hAnchor="text" w:xAlign="center" w:y="1"/>
                    <w:numPr>
                      <w:ilvl w:val="0"/>
                      <w:numId w:val="6"/>
                    </w:numPr>
                    <w:spacing w:after="0" w:line="240" w:lineRule="auto"/>
                    <w:ind w:left="176" w:hanging="28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47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Navržené aktivity nejsou popsány srozumitelně a dostatečně konkrétně.</w:t>
                  </w:r>
                </w:p>
              </w:tc>
            </w:tr>
          </w:tbl>
          <w:p w:rsidR="00B47678" w:rsidRPr="00B47678" w:rsidRDefault="00B47678" w:rsidP="00B4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 jsou základním způsobem popsány a logicky členěny. Část nebo všechny aktivity nejsou popsány dostatečně konkrétně.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 jsou popsány dostatečně konkrétně a srozumitelně.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Harmonogram realizace jednotlivých aktivit je přiměřený a realistický.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0 - 6 bodů</w:t>
            </w:r>
          </w:p>
        </w:tc>
      </w:tr>
      <w:tr w:rsidR="00B47678" w:rsidRPr="00B47678" w:rsidTr="00020345">
        <w:trPr>
          <w:trHeight w:val="828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4"/>
            </w:tblGrid>
            <w:tr w:rsidR="00B47678" w:rsidRPr="00B47678" w:rsidTr="00020345">
              <w:trPr>
                <w:trHeight w:val="395"/>
              </w:trPr>
              <w:tc>
                <w:tcPr>
                  <w:tcW w:w="0" w:type="auto"/>
                </w:tcPr>
                <w:p w:rsidR="00B47678" w:rsidRPr="00B47678" w:rsidRDefault="00B47678" w:rsidP="00B47678">
                  <w:pPr>
                    <w:framePr w:hSpace="141" w:wrap="around" w:vAnchor="text" w:hAnchor="text" w:xAlign="center" w:y="1"/>
                    <w:numPr>
                      <w:ilvl w:val="0"/>
                      <w:numId w:val="6"/>
                    </w:numPr>
                    <w:spacing w:after="0" w:line="240" w:lineRule="auto"/>
                    <w:ind w:left="176" w:hanging="28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47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Projekt není přehledně členěn do aktivit, případně je harmonogram popsán neurčitě a není možné posoudit, která část projektu bude v daném období realizována. </w:t>
                  </w:r>
                </w:p>
              </w:tc>
            </w:tr>
          </w:tbl>
          <w:p w:rsidR="00B47678" w:rsidRPr="00B47678" w:rsidRDefault="00B47678" w:rsidP="00B4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Harmonogram postihuje všechny aktivity projektu, není však realistický. Řešení jednotlivých aktivit na sebe logicky nenavazuje.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Harmonogram je zpracován realisticky, termíny realizace jednotlivých aktivit jsou přiměřené a je možné v nich aktivitu řádně provést.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 má jasně definované cílové skupiny a projektové aktivity jsou vůči těmto cílovým skupinám relevantní.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6 bodů</w:t>
            </w:r>
          </w:p>
        </w:tc>
      </w:tr>
      <w:tr w:rsidR="00B47678" w:rsidRPr="00B47678" w:rsidTr="00020345">
        <w:trPr>
          <w:trHeight w:val="720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Cílové skupiny nejsou v projektu popsány.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690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Cílové skupiny projektu jsou definovány neurčitě, obecně; nelze jednoznačně posoudit, pro které cílové skupiny budou jednotlivé aktivity.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695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Cílové skupiny jsou v projektu konkrétně identifikovány; z popisu je patrné, které cílové skupině je určena konkrétní aktivita.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55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Význam projektu z hlediska dopadu na území a cílové skupiny, pokrytí lokality, územní význam projektu.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0 - 6 bodů</w:t>
            </w:r>
          </w:p>
        </w:tc>
      </w:tr>
      <w:tr w:rsidR="00B47678" w:rsidRPr="00B47678" w:rsidTr="00020345">
        <w:trPr>
          <w:trHeight w:val="555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místního významu.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565"/>
          <w:jc w:val="center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regionálního významu.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565"/>
          <w:jc w:val="center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celokrajského významu.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550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Udržitelnost projektu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Max.</w:t>
            </w:r>
          </w:p>
        </w:tc>
      </w:tr>
      <w:tr w:rsidR="00B47678" w:rsidRPr="00B47678" w:rsidTr="00020345">
        <w:trPr>
          <w:trHeight w:val="545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Výsledky projektu jsou opakovaně využitelné dalšími subjekty.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6 bodů</w:t>
            </w:r>
          </w:p>
        </w:tc>
      </w:tr>
      <w:tr w:rsidR="00B47678" w:rsidRPr="00B47678" w:rsidTr="00020345">
        <w:trPr>
          <w:trHeight w:val="691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projektu jsou využitelné pouze jednorázově, charakter výsledků neumožňuje jejich opakované využití.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701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projektu jsou opakovaně využitelné. Využití výsledků dalšími subjekty vyžaduje jejich modifikaci.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jsou opakovaně využitelné dalšími subjekty bez významnějších úprav.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Výstupy projektu budou použity v další činnosti žadatele.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6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Žadatel nebude výstupy projektu po jeho ukončení využívat. Výstupy projektu nelze pro další činnost využít.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Způsob využití výstupů pro další činnost žadatele není konkrétně popsán.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projektu je patrné, jakým způsobem bude žadatel výstupy projektu dále využívat ve své činnosti.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projektu jsou udržitelné i bez dalších dotací.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6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projektu mají jednorázový charakter.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budou dostupné, ale jejich další využití není bez dotací možné nebo je možné jen omezeně.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Výsledky jsou opakovaně využitelné i bez dotací.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Rozpočet a efektivita nákladů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Max.</w:t>
            </w:r>
          </w:p>
        </w:tc>
      </w:tr>
      <w:tr w:rsidR="00B47678" w:rsidRPr="00B47678" w:rsidTr="00020345">
        <w:trPr>
          <w:trHeight w:val="502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 – 20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budou přidělovány podle vzorce: počet bodů = (míra spolufinancování v %) x 0,40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– 19 bodů</w:t>
            </w:r>
          </w:p>
        </w:tc>
      </w:tr>
      <w:tr w:rsidR="00B47678" w:rsidRPr="00B47678" w:rsidTr="00020345">
        <w:trPr>
          <w:trHeight w:val="533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spolufinancování vyšší než 50 %.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Položky rozpočtu jsou jasně okomentovány (včetně mzdových a režijních nákladů).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16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Komentáře u rozpočtových položek zcela nebo převážně chybí, klíčové položky rozpočtu nejsou okomentovány. Nelze posoudit účelnost výdajů.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0 - 5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Komentáře u rozpočtových položek jsou zpracovány formálně, není zcela patrný účel položky a její vazba na projektové aktivity. Účelnost výdajů lze z komentářů posoudit jen částečně.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6 - 11 bodů</w:t>
            </w:r>
          </w:p>
        </w:tc>
      </w:tr>
      <w:tr w:rsidR="00B47678" w:rsidRPr="00B47678" w:rsidTr="00020345">
        <w:trPr>
          <w:trHeight w:val="559"/>
          <w:jc w:val="center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rozpočtové položky jsou jasně a srozumitelně okomentovány, z komentářů je možné posoudit vazbu rozpočtu na projekt a jeho jednotlivé aktivity.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12 - 16 bodů</w:t>
            </w:r>
          </w:p>
        </w:tc>
      </w:tr>
      <w:tr w:rsidR="00B47678" w:rsidRPr="00B47678" w:rsidTr="00020345">
        <w:trPr>
          <w:trHeight w:val="675"/>
          <w:jc w:val="center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je přiměřený, jsou použity obvyklé ceny, náklady odpovídají rozsahu aktivit.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 – 16 bodů</w:t>
            </w:r>
          </w:p>
        </w:tc>
      </w:tr>
      <w:tr w:rsidR="00B47678" w:rsidRPr="00B47678" w:rsidTr="00020345">
        <w:trPr>
          <w:trHeight w:val="780"/>
          <w:jc w:val="center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Rozpočet není přiměřený, nejsou použity obvyklé ceny. Náklady jsou nepřiměřené rozsahu aktivit.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0 - 5 bodů</w:t>
            </w:r>
          </w:p>
        </w:tc>
      </w:tr>
      <w:tr w:rsidR="00B47678" w:rsidRPr="00B47678" w:rsidTr="00020345">
        <w:trPr>
          <w:trHeight w:val="780"/>
          <w:jc w:val="center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Rozpočet je celkově přiměřený. Některé aktivity jsou však rozpočtově podhodnoceny, jiné naopak nadhodnoceny.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6 - 11 bodů</w:t>
            </w:r>
          </w:p>
        </w:tc>
      </w:tr>
      <w:tr w:rsidR="00B47678" w:rsidRPr="00B47678" w:rsidTr="00020345">
        <w:trPr>
          <w:trHeight w:val="844"/>
          <w:jc w:val="center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Rozpočet jednotlivých aktivit je přiměřený. V rozpočtu jsou důsledně použity obvyklé ceny a jsou řádně zdůvodněny.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78" w:rsidRPr="00B47678" w:rsidRDefault="00B47678" w:rsidP="00B4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4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12 - 16 bodů</w:t>
            </w:r>
          </w:p>
        </w:tc>
      </w:tr>
    </w:tbl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Bodové hodnocení žádosti provede každý z členů hodnotící komise. Výsledné bodové hodnocení žádosti je rovno průměru součtu všech udělených bodů vůči počtu členů hodnotící komise.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Hodnotící Komise je složena z členů Výboru pro životní prostředí a zemědělství (dále jen „Hodnotící komise“), jmenovaných náměstkem hejtmanky pro oblast životního prostředí a zemědělství.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Za řádně podanou žádost se považuje žádost podaná písemně ve lhůtě stanovené v tomto Programu.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životního prostředí a zemědělství provede formální kontrolu podaných žádostí. Žádosti, které nebudou řádně podány nebo nebudou odpovídat Programu, budou vyřazeny z dotačního řízení a nebudou předloženy k hodnocení Hodnotící komisi. 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formálních nedostatků řádně podaných žádostí, chybějících povinných příloh nebo nedostatků v obsahu předložených povinných příloh vyzve Odbor životního prostředí a zemědělství žadatele k doplnění. Žádost musí být doplněna do 5  pracovních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dnů od vyzvání. Žádosti, které nebudou v termínu řádně doplněny, budou vyřazeny z dotačního řízení a nebudou předloženy k hodnocení Hodnotící komisi.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životního prostředí a zemědělství připraví materiály pro příslušnou Hodnotící komisi (seznam žádostí, které splňují formální požadavky). 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poskytnutí dotace z rozpočtu Středočeského kraje rozhoduje v rozsahu pravomocí daných zákonem č. 129/2000 Sb., o krajích (krajské zřízení), ve znění pozdějších předpisů, Zastupitelstvo Středočeského kraje na základě návrhu Rady Středočeského kraje. Pro jednání Rady Středočeského kraje připravuje podklady Odbor životního prostředí a zemědělství na základě výsledků jednání Hodnotící komise, která může navrhnout poskytnutí nižší výše dotace, než byla požadovaná žadatelem v žádosti, tento návrh musí být hodnotící komisí odůvodněn; důvodem může být i poskytnutí dotace více žadatelům.</w:t>
      </w:r>
    </w:p>
    <w:p w:rsidR="00B47678" w:rsidRPr="00B47678" w:rsidRDefault="00B47678" w:rsidP="00B4767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Lhůta pro rozhodnutí o žádosti je stanovena na 180 dnů od podání žádosti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4767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B47678" w:rsidRPr="00B47678" w:rsidRDefault="00B47678" w:rsidP="00B47678">
      <w:pPr>
        <w:tabs>
          <w:tab w:val="num" w:pos="1224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7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poskytnutí dotace, omezení podpory a povinnosti příjemce</w:t>
      </w:r>
    </w:p>
    <w:p w:rsidR="00B47678" w:rsidRPr="00B47678" w:rsidRDefault="00B47678" w:rsidP="00B47678">
      <w:pPr>
        <w:tabs>
          <w:tab w:val="num" w:pos="12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na základě řádně podané úplné žádosti zpracované v souladu s Programem a Metodickým pokynem k podávání žádostí.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Akce/Projekt musí být příjemcem dotace realizován na území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z Programu je možné poskytnout na akce/projekty spolufinancované ze státního rozpočtu a prostředků Evropské unie (v případě povolení spolufinancování v programech státního rozpočtu nebo Evropské unie).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akci/projekt dle tohoto Programu není možné podpořit z více dotačních titulů (Fondů)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lze poskytnout žadateli, který nemá ke dni podání žádosti závazky po lhůtě jejich splatnosti ve vztahu k rozpočtu Středočeského kraje a závazky po lhůtě splatnosti vůči příspěvkovým organizacím Středočeského kraje a vůči dalším právnickým osobám, jejichž je Středočeský kraj zřizovatelem nebo zakladatelem, a který není v žádném soudním sporu se Středočeským krajem nebo příspěvkovou organizací Středočeského kraje nebo s jinou právnickou osobou, jejíž je Středočeský kraj zřizovatelem nebo zakladatelem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při čerpání dotace povinen postupovat v souladu s příslušnými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příjemci poskytována dotace jako veřejná podpora malého rozsahu v režimu de </w:t>
      </w:r>
      <w:proofErr w:type="spellStart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řídí se poskytnutí dotace a její čerpání příjemcem nařízením Komise (EU) č.1407/2013 ze dne 18. prosince 2013 o použití článků 107 a 108 Smlouvy o fungování Evropské unie na podporu de </w:t>
      </w:r>
      <w:proofErr w:type="spellStart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(Úřední věstník EU L352, 24. 12. 2013, </w:t>
      </w:r>
      <w:proofErr w:type="gramStart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s.1) (dále</w:t>
      </w:r>
      <w:proofErr w:type="gram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„nařízení Komise (EU)“. Příjemce je povinen veškeré písemnosti týkající se podpory de </w:t>
      </w:r>
      <w:proofErr w:type="spellStart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archivovat po dobu 10 let.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 dodavatele veřejné zakázky musí být příjemcem proveden v souladu se zákonem č. 134/2016 Sb., o zadávání veřejných zakázek, ve znění pozdějších předpisů. Příjemce je povinen při zadání veřejné zakázky dodržovat zásady transparentnosti, rovného zacházení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zákazu diskriminace. Při výběrovém řízení musí příjemce uplatnit hodnotící kritérium nabídkové ceny s váhou minimálně 60 % u veřejných zakázek na služby a s váhou minimálně 80% u veřejných zakázek na dodávky a na stavební práce; výjimku z tohoto ustanovení může povolit Rada na základě žádosti příjemce, obsahující odůvodnění přiměřenosti stanovených hodnotících kritérií.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zadávat veřejné zakázky malého rozsahu za cenu maximálně ve výši ceny v místě a čase obvyklé. 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 veřejných zakázek malého rozsahu s hodnotou plnění, která převýší 200 000 Kč bez DPH, je příjemce povinen prokázat oslovení alespoň tří dodavatelů u veřejných zakázek na dodávky a na služby a pěti dodavatelů u veřejných zakázek na stavební práce s těmito výjimkami: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neprovádí oslovení tří dodavatelů u veřejných zakázek na dodávky a na služby a pěti dodavatelů u veřejných zakázek na stavební práce, pokud plnění veřejné zakázky malého rozsahu může prokazatelně poskytnout pouze jeden dodavatel. </w:t>
      </w:r>
    </w:p>
    <w:p w:rsidR="00B47678" w:rsidRPr="00B47678" w:rsidRDefault="00B47678" w:rsidP="00B47678">
      <w:pPr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plnění veřejné zakázky malého rozsahu mohou prokazatelně poskytnout pouze dva dodavatelé, osloví příjemce pouze tyto dva dodavatele.</w:t>
      </w:r>
    </w:p>
    <w:p w:rsidR="00B47678" w:rsidRPr="00B47678" w:rsidRDefault="00B47678" w:rsidP="00B47678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Hodnotící komise, Odbor životního prostředí a zemědělství, Odbor kontroly Krajského úřadu Středočeského kraje (dále jen „Odbor kontroly“) si mohou od příjemce vyžádat dokumentaci zadávacího řízení na veřejnou zakázku včetně výsledků výběrového řízení; toto ustanovení platí i pro veřejné zakázky malého rozsahu s hodnotou plnění, která převýší 200 000 Kč bez DPH.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a blízké osoby příjemce nebo osoby ovládající příjemce či osoby příjemcem ovládané se nesmějí podílet na plnění veřejných zakázek zadávaných příjemcem, spočívajících v poskytování dodávek, služeb a stavebních prací spojených s realizací akce/projektu, které jsou hrazeny z poskytnuté dotace a rovněž z vlastních zdrojů příjemce (ani působit jako subdodavatel veřejných zakázek zadávaných příjemcem). Výjimku z tohoto ustanovení může udělit na základě písemné žádosti příjemce Rada. 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tohoto odstavce neplatí, jestliže příjemce dotace postupuje podle § 11 zákona č. 134/2016 Sb., o zadávání veřejných zakázek, ve znění pozdějších předpisů.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nesmí být prodán, darován nebo bezúplatně převeden na jinou právnickou nebo fyzickou osobu po dobu pěti let od data ukončení realizace akce/projektu. Výjimku z 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pořízený či zhodnocený s účastí dotace musí sloužit po dobu pěti let od data ukončení realizace akce/projektu k účelu, na který byla dotace poskytnuta. Výjimku z 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se poskytuje bezhotovostním převodem na bankovní účet příjemce. Pokud je příjemcem příspěvková organizace zřízená obcí, plní funkci zprostředkovatele peněžních prostředků ve vztahu k organizaci dle zákona č. 250/2000 Sb., o rozpočtových pravidlech územních rozpočtů, ve znění pozdějších předpisů, obec.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Příjemce je povinen předložit v určeném termínu povinné dokumenty pro přípravu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podpis smlouvy. Tyto dokumenty stanoví Odbor životního prostředí a zemědělství. V případě nedoložení těchto dokumentů v daném termínu nebude s příjemcem smlouva uzavřena.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dotaci použít jen v daném období a k účelu, na který mu byla poskytnuta.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souhlasí s tím, že akce/projekt nebude generovat žádný zisk.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může zahájit realizaci akce/projektu ještě před podpisem smlouvy, respektive před rozhodnutím Zastupitelstva, kterým bylo schváleno poskytnutí dotace příjemci. Uznatelné náklady akce/projektu jsou náklady vzniklé příjemci v souvislosti s realizací akce/projektu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2018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podmínky, že se jedná o uznatelné náklady akce/projektu, na který byla příjemci dotace poskytnuta. 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Akce/projekt musí být ukončena v termínu stanoveném smlouvou, a to nejdéle </w:t>
      </w: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31. 7. 2019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. Výjimku z tohoto ustanovení může udělit na základě písemné žádosti příjemce Rada.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Nevyčerpané peněžní prostředky je příjemce povinen vrátit na účet Středočeského kraje v termínu stanoveném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rozpočtové kázně příjemcem bude posuzována dle § 22 zákona č. 250/2000 Sb., o rozpočtových pravidlech územních rozpočtů, ve znění pozdějších předpisů a dle obsahu tohoto Programu a uzavřené smlouvy. Porušením rozpočtové kázně se rozumí každé neoprávněné použití nebo zadržení peněžních prostředků poskytnutých jako dotace z rozpočtu Středočeského kraje.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použije dotaci v rozporu s Programem a uzavřenou smlouvou, je povinen dotaci nebo její část použitou v rozporu s Programem a uzavřenou smlouvou neprodleně odvést zpět na účet Středočeského kraje a uhradit penále stanovené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Středočeský kraj může ve smlouvě vymezit podmínky, jejichž porušení bude považováno za méně závažné, za které se uloží odvod za porušení rozpočtové kázně nižší, než odpovídající výši poskytnutých peněžních prostředků.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účtuje poskytnutou dotaci v souladu s platnými obecně závaznými právními předpisy.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dotace včetně dodržení účelu dotace, Programu, smlouvy, platných obecně závazných právních předpisů a nařízení Komise (EU) u dotací v režimu de </w:t>
      </w:r>
      <w:proofErr w:type="spellStart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podléhá kontrole příslušných orgánů Středočeského kraje, Odboru životního prostředí a zemědělství a Odboru kontroly.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vypracovat a předložit Dokumentaci závěrečného vyhodnocení a vyúčtování akce/projektu poskytnuté dotace dle podmínek a termínu stanovených smlouvou.</w:t>
      </w:r>
    </w:p>
    <w:p w:rsidR="00B47678" w:rsidRPr="00B47678" w:rsidRDefault="00B47678" w:rsidP="00B4767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zavazuje v průběhu i po ukončení realizace akce/projektu, pokud to povaha akce/projektu dovoluje, označit, že akce/projekt byl realizován s přispěním Středočeského kraje.</w:t>
      </w:r>
    </w:p>
    <w:p w:rsidR="00B47678" w:rsidRPr="00B47678" w:rsidRDefault="00B47678" w:rsidP="00B4767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8</w:t>
      </w:r>
    </w:p>
    <w:p w:rsidR="00B47678" w:rsidRPr="00B47678" w:rsidRDefault="00B47678" w:rsidP="00B4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Program nabývá účinnosti dne </w:t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>18. 12. 2017</w:t>
      </w: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78" w:rsidRPr="00B47678" w:rsidRDefault="00B47678" w:rsidP="00B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dne:</w:t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18. 12. 2017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B47678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dne: ……….</w:t>
      </w:r>
    </w:p>
    <w:p w:rsidR="00550070" w:rsidRPr="00B47678" w:rsidRDefault="00550070" w:rsidP="00B47678">
      <w:pPr>
        <w:tabs>
          <w:tab w:val="left" w:pos="903"/>
        </w:tabs>
      </w:pPr>
    </w:p>
    <w:sectPr w:rsidR="00550070" w:rsidRPr="00B4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3240" w:hanging="360"/>
      </w:pPr>
    </w:lvl>
    <w:lvl w:ilvl="1" w:tplc="04050019">
      <w:start w:val="1"/>
      <w:numFmt w:val="lowerLetter"/>
      <w:lvlText w:val="%2."/>
      <w:lvlJc w:val="left"/>
      <w:pPr>
        <w:ind w:left="4167" w:hanging="360"/>
      </w:pPr>
    </w:lvl>
    <w:lvl w:ilvl="2" w:tplc="0405001B">
      <w:start w:val="1"/>
      <w:numFmt w:val="lowerRoman"/>
      <w:lvlText w:val="%3."/>
      <w:lvlJc w:val="right"/>
      <w:pPr>
        <w:ind w:left="4887" w:hanging="180"/>
      </w:pPr>
    </w:lvl>
    <w:lvl w:ilvl="3" w:tplc="0405000F">
      <w:start w:val="1"/>
      <w:numFmt w:val="decimal"/>
      <w:lvlText w:val="%4."/>
      <w:lvlJc w:val="left"/>
      <w:pPr>
        <w:ind w:left="5607" w:hanging="360"/>
      </w:pPr>
    </w:lvl>
    <w:lvl w:ilvl="4" w:tplc="04050019">
      <w:start w:val="1"/>
      <w:numFmt w:val="lowerLetter"/>
      <w:lvlText w:val="%5."/>
      <w:lvlJc w:val="left"/>
      <w:pPr>
        <w:ind w:left="6327" w:hanging="360"/>
      </w:pPr>
    </w:lvl>
    <w:lvl w:ilvl="5" w:tplc="0405001B">
      <w:start w:val="1"/>
      <w:numFmt w:val="lowerRoman"/>
      <w:lvlText w:val="%6."/>
      <w:lvlJc w:val="right"/>
      <w:pPr>
        <w:ind w:left="7047" w:hanging="180"/>
      </w:pPr>
    </w:lvl>
    <w:lvl w:ilvl="6" w:tplc="0405000F">
      <w:start w:val="1"/>
      <w:numFmt w:val="decimal"/>
      <w:lvlText w:val="%7."/>
      <w:lvlJc w:val="left"/>
      <w:pPr>
        <w:ind w:left="7767" w:hanging="360"/>
      </w:pPr>
    </w:lvl>
    <w:lvl w:ilvl="7" w:tplc="04050019">
      <w:start w:val="1"/>
      <w:numFmt w:val="lowerLetter"/>
      <w:lvlText w:val="%8."/>
      <w:lvlJc w:val="left"/>
      <w:pPr>
        <w:ind w:left="8487" w:hanging="360"/>
      </w:pPr>
    </w:lvl>
    <w:lvl w:ilvl="8" w:tplc="0405001B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0F2B19F2"/>
    <w:multiLevelType w:val="hybridMultilevel"/>
    <w:tmpl w:val="6EA428C4"/>
    <w:lvl w:ilvl="0" w:tplc="364EA5F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2D1C"/>
    <w:multiLevelType w:val="hybridMultilevel"/>
    <w:tmpl w:val="95F2E9E4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F4442"/>
    <w:multiLevelType w:val="hybridMultilevel"/>
    <w:tmpl w:val="35F0B9AA"/>
    <w:lvl w:ilvl="0" w:tplc="32D6A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035B2"/>
    <w:multiLevelType w:val="hybridMultilevel"/>
    <w:tmpl w:val="4FEC6A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3FA5"/>
    <w:multiLevelType w:val="hybridMultilevel"/>
    <w:tmpl w:val="AFBAE9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411B"/>
    <w:multiLevelType w:val="hybridMultilevel"/>
    <w:tmpl w:val="ED22BE48"/>
    <w:lvl w:ilvl="0" w:tplc="7C46E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17CB"/>
    <w:multiLevelType w:val="hybridMultilevel"/>
    <w:tmpl w:val="1DDA7A6E"/>
    <w:lvl w:ilvl="0" w:tplc="BD7A6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F9E8E598">
      <w:start w:val="1"/>
      <w:numFmt w:val="upperLetter"/>
      <w:lvlText w:val="%5)"/>
      <w:lvlJc w:val="left"/>
      <w:pPr>
        <w:ind w:left="644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24F9E"/>
    <w:multiLevelType w:val="hybridMultilevel"/>
    <w:tmpl w:val="A724A860"/>
    <w:lvl w:ilvl="0" w:tplc="0CE0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DC146A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A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2967356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9E8E598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A7ABB"/>
    <w:multiLevelType w:val="hybridMultilevel"/>
    <w:tmpl w:val="5114ED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4CA7"/>
    <w:multiLevelType w:val="hybridMultilevel"/>
    <w:tmpl w:val="195409B4"/>
    <w:lvl w:ilvl="0" w:tplc="782833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BD7A6BA0">
      <w:start w:val="1"/>
      <w:numFmt w:val="upperLetter"/>
      <w:lvlText w:val="%2)"/>
      <w:lvlJc w:val="left"/>
      <w:pPr>
        <w:ind w:left="181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D2744"/>
    <w:multiLevelType w:val="hybridMultilevel"/>
    <w:tmpl w:val="C4326358"/>
    <w:lvl w:ilvl="0" w:tplc="C32AD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6659BD"/>
    <w:multiLevelType w:val="hybridMultilevel"/>
    <w:tmpl w:val="F75041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B7"/>
    <w:rsid w:val="003536D3"/>
    <w:rsid w:val="004F54BC"/>
    <w:rsid w:val="005475B7"/>
    <w:rsid w:val="00550070"/>
    <w:rsid w:val="00B47678"/>
    <w:rsid w:val="00B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3554</Words>
  <Characters>20971</Characters>
  <Application>Microsoft Office Word</Application>
  <DocSecurity>0</DocSecurity>
  <Lines>174</Lines>
  <Paragraphs>48</Paragraphs>
  <ScaleCrop>false</ScaleCrop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2017-11-07T08:17:00Z</dcterms:created>
  <dcterms:modified xsi:type="dcterms:W3CDTF">2017-12-18T07:55:00Z</dcterms:modified>
</cp:coreProperties>
</file>